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EEABB" w14:textId="77777777" w:rsidR="00B547A2" w:rsidRDefault="00F20C13" w:rsidP="00B547A2">
      <w:r>
        <w:rPr>
          <w:noProof/>
        </w:rPr>
        <w:drawing>
          <wp:anchor distT="0" distB="0" distL="114300" distR="114300" simplePos="0" relativeHeight="251737088" behindDoc="0" locked="0" layoutInCell="1" allowOverlap="1" wp14:anchorId="4171E09F" wp14:editId="3B0C5EE7">
            <wp:simplePos x="0" y="0"/>
            <wp:positionH relativeFrom="margin">
              <wp:posOffset>-120650</wp:posOffset>
            </wp:positionH>
            <wp:positionV relativeFrom="paragraph">
              <wp:posOffset>5715</wp:posOffset>
            </wp:positionV>
            <wp:extent cx="1485900" cy="9207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B65">
        <w:rPr>
          <w:noProof/>
        </w:rPr>
        <mc:AlternateContent>
          <mc:Choice Requires="wpg">
            <w:drawing>
              <wp:anchor distT="0" distB="0" distL="114300" distR="114300" simplePos="0" relativeHeight="251736064" behindDoc="0" locked="0" layoutInCell="1" allowOverlap="1" wp14:anchorId="7AF9A0A0" wp14:editId="5594238B">
                <wp:simplePos x="0" y="0"/>
                <wp:positionH relativeFrom="column">
                  <wp:posOffset>1036320</wp:posOffset>
                </wp:positionH>
                <wp:positionV relativeFrom="paragraph">
                  <wp:posOffset>88265</wp:posOffset>
                </wp:positionV>
                <wp:extent cx="5556110" cy="1053595"/>
                <wp:effectExtent l="0" t="0" r="0" b="0"/>
                <wp:wrapNone/>
                <wp:docPr id="16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110" cy="1053595"/>
                          <a:chOff x="2557" y="968"/>
                          <a:chExt cx="9744" cy="1620"/>
                        </a:xfrm>
                      </wpg:grpSpPr>
                      <wps:wsp>
                        <wps:cNvPr id="166" name="Text Box 224"/>
                        <wps:cNvSpPr txBox="1">
                          <a:spLocks noChangeArrowheads="1"/>
                        </wps:cNvSpPr>
                        <wps:spPr bwMode="auto">
                          <a:xfrm>
                            <a:off x="7579" y="968"/>
                            <a:ext cx="4722"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6A6E" w14:textId="77777777" w:rsidR="00F20C13" w:rsidRDefault="00DE45B7" w:rsidP="00F20C13">
                              <w:pPr>
                                <w:pStyle w:val="Heading1"/>
                                <w:spacing w:line="264" w:lineRule="auto"/>
                                <w:rPr>
                                  <w:rFonts w:ascii="Arial" w:hAnsi="Arial"/>
                                  <w:color w:val="1F497D" w:themeColor="text2"/>
                                </w:rPr>
                              </w:pPr>
                              <w:r w:rsidRPr="00900B65">
                                <w:rPr>
                                  <w:rFonts w:ascii="Arial" w:hAnsi="Arial"/>
                                  <w:color w:val="1F497D" w:themeColor="text2"/>
                                </w:rPr>
                                <w:t>TÜRKİYE KALKINMA VAKFI</w:t>
                              </w:r>
                            </w:p>
                            <w:p w14:paraId="2313DD1F" w14:textId="77777777" w:rsidR="00F20C13" w:rsidRDefault="00F20C13" w:rsidP="00F20C13">
                              <w:pPr>
                                <w:pStyle w:val="Heading1"/>
                                <w:spacing w:line="264" w:lineRule="auto"/>
                                <w:rPr>
                                  <w:rFonts w:ascii="Arial" w:hAnsi="Arial" w:cs="Arial"/>
                                  <w:b w:val="0"/>
                                  <w:bCs w:val="0"/>
                                  <w:color w:val="1F497D" w:themeColor="text2"/>
                                  <w:sz w:val="16"/>
                                  <w:szCs w:val="16"/>
                                </w:rPr>
                              </w:pPr>
                            </w:p>
                            <w:p w14:paraId="4C16BBF6" w14:textId="77777777" w:rsidR="00F20C13" w:rsidRDefault="00900B65" w:rsidP="00F20C13">
                              <w:pPr>
                                <w:pStyle w:val="Heading1"/>
                                <w:spacing w:line="264" w:lineRule="auto"/>
                                <w:rPr>
                                  <w:rFonts w:ascii="Arial" w:hAnsi="Arial" w:cs="Arial"/>
                                  <w:b w:val="0"/>
                                  <w:bCs w:val="0"/>
                                  <w:color w:val="1F497D" w:themeColor="text2"/>
                                  <w:sz w:val="16"/>
                                  <w:szCs w:val="16"/>
                                </w:rPr>
                              </w:pPr>
                              <w:r w:rsidRPr="00F20C13">
                                <w:rPr>
                                  <w:rFonts w:ascii="Arial" w:hAnsi="Arial" w:cs="Arial"/>
                                  <w:b w:val="0"/>
                                  <w:bCs w:val="0"/>
                                  <w:color w:val="1F497D" w:themeColor="text2"/>
                                  <w:sz w:val="16"/>
                                  <w:szCs w:val="16"/>
                                </w:rPr>
                                <w:t>Çukurambar Mah.</w:t>
                              </w:r>
                              <w:r w:rsidR="00F20C13">
                                <w:rPr>
                                  <w:rFonts w:ascii="Arial" w:hAnsi="Arial" w:cs="Arial"/>
                                  <w:b w:val="0"/>
                                  <w:bCs w:val="0"/>
                                  <w:color w:val="1F497D" w:themeColor="text2"/>
                                  <w:sz w:val="16"/>
                                  <w:szCs w:val="16"/>
                                </w:rPr>
                                <w:t xml:space="preserve"> </w:t>
                              </w:r>
                              <w:r w:rsidRPr="00F20C13">
                                <w:rPr>
                                  <w:rFonts w:ascii="Arial" w:hAnsi="Arial" w:cs="Arial"/>
                                  <w:b w:val="0"/>
                                  <w:bCs w:val="0"/>
                                  <w:color w:val="1F497D" w:themeColor="text2"/>
                                  <w:sz w:val="16"/>
                                  <w:szCs w:val="16"/>
                                </w:rPr>
                                <w:t>Malcolm X Cad</w:t>
                              </w:r>
                              <w:r w:rsidR="00F20C13">
                                <w:rPr>
                                  <w:rFonts w:ascii="Arial" w:hAnsi="Arial" w:cs="Arial"/>
                                  <w:b w:val="0"/>
                                  <w:bCs w:val="0"/>
                                  <w:color w:val="1F497D" w:themeColor="text2"/>
                                  <w:sz w:val="16"/>
                                  <w:szCs w:val="16"/>
                                </w:rPr>
                                <w:t>.</w:t>
                              </w:r>
                              <w:r w:rsidRPr="00F20C13">
                                <w:rPr>
                                  <w:rFonts w:ascii="Arial" w:hAnsi="Arial" w:cs="Arial"/>
                                  <w:b w:val="0"/>
                                  <w:bCs w:val="0"/>
                                  <w:color w:val="1F497D" w:themeColor="text2"/>
                                  <w:sz w:val="16"/>
                                  <w:szCs w:val="16"/>
                                </w:rPr>
                                <w:t xml:space="preserve"> Bayındır Apt. </w:t>
                              </w:r>
                              <w:r w:rsidR="00DE45B7" w:rsidRPr="00F20C13">
                                <w:rPr>
                                  <w:rFonts w:ascii="Arial" w:hAnsi="Arial" w:cs="Arial"/>
                                  <w:b w:val="0"/>
                                  <w:bCs w:val="0"/>
                                  <w:color w:val="1F497D" w:themeColor="text2"/>
                                  <w:sz w:val="16"/>
                                  <w:szCs w:val="16"/>
                                </w:rPr>
                                <w:t xml:space="preserve">No: </w:t>
                              </w:r>
                              <w:r w:rsidRPr="00F20C13">
                                <w:rPr>
                                  <w:rFonts w:ascii="Arial" w:hAnsi="Arial" w:cs="Arial"/>
                                  <w:b w:val="0"/>
                                  <w:bCs w:val="0"/>
                                  <w:color w:val="1F497D" w:themeColor="text2"/>
                                  <w:sz w:val="16"/>
                                  <w:szCs w:val="16"/>
                                </w:rPr>
                                <w:t xml:space="preserve">24/14 Çankaya, </w:t>
                              </w:r>
                              <w:r w:rsidR="00DE45B7" w:rsidRPr="00F20C13">
                                <w:rPr>
                                  <w:rFonts w:ascii="Arial" w:hAnsi="Arial" w:cs="Arial"/>
                                  <w:b w:val="0"/>
                                  <w:bCs w:val="0"/>
                                  <w:color w:val="1F497D" w:themeColor="text2"/>
                                  <w:sz w:val="16"/>
                                  <w:szCs w:val="16"/>
                                </w:rPr>
                                <w:t xml:space="preserve">Ankara               </w:t>
                              </w:r>
                            </w:p>
                            <w:p w14:paraId="1F35B412" w14:textId="6E267BB4" w:rsidR="00DE45B7" w:rsidRPr="00F20C13" w:rsidRDefault="00DE45B7" w:rsidP="00F20C13">
                              <w:pPr>
                                <w:pStyle w:val="Heading1"/>
                                <w:spacing w:line="264" w:lineRule="auto"/>
                                <w:rPr>
                                  <w:rFonts w:ascii="Arial" w:hAnsi="Arial" w:cs="Arial"/>
                                  <w:b w:val="0"/>
                                  <w:bCs w:val="0"/>
                                  <w:color w:val="1F497D" w:themeColor="text2"/>
                                  <w:sz w:val="16"/>
                                  <w:szCs w:val="16"/>
                                </w:rPr>
                              </w:pPr>
                              <w:r w:rsidRPr="00F20C13">
                                <w:rPr>
                                  <w:rFonts w:ascii="Arial" w:hAnsi="Arial" w:cs="Arial"/>
                                  <w:b w:val="0"/>
                                  <w:bCs w:val="0"/>
                                  <w:color w:val="1F497D" w:themeColor="text2"/>
                                  <w:sz w:val="16"/>
                                  <w:szCs w:val="16"/>
                                </w:rPr>
                                <w:t>Tel:</w:t>
                              </w:r>
                              <w:r w:rsidR="00900B65" w:rsidRPr="00F20C13">
                                <w:rPr>
                                  <w:rFonts w:ascii="Arial" w:hAnsi="Arial" w:cs="Arial"/>
                                  <w:b w:val="0"/>
                                  <w:bCs w:val="0"/>
                                  <w:color w:val="1F497D" w:themeColor="text2"/>
                                  <w:sz w:val="16"/>
                                  <w:szCs w:val="16"/>
                                </w:rPr>
                                <w:t xml:space="preserve"> 0</w:t>
                              </w:r>
                              <w:r w:rsidRPr="00F20C13">
                                <w:rPr>
                                  <w:rFonts w:ascii="Arial" w:hAnsi="Arial" w:cs="Arial"/>
                                  <w:b w:val="0"/>
                                  <w:bCs w:val="0"/>
                                  <w:color w:val="1F497D" w:themeColor="text2"/>
                                  <w:sz w:val="16"/>
                                  <w:szCs w:val="16"/>
                                </w:rPr>
                                <w:t xml:space="preserve"> (312) 814 53 88 Faks:</w:t>
                              </w:r>
                              <w:r w:rsidR="00900B65" w:rsidRPr="00F20C13">
                                <w:rPr>
                                  <w:rFonts w:ascii="Arial" w:hAnsi="Arial" w:cs="Arial"/>
                                  <w:b w:val="0"/>
                                  <w:bCs w:val="0"/>
                                  <w:color w:val="1F497D" w:themeColor="text2"/>
                                  <w:sz w:val="16"/>
                                  <w:szCs w:val="16"/>
                                </w:rPr>
                                <w:t xml:space="preserve"> 0</w:t>
                              </w:r>
                              <w:r w:rsidRPr="00F20C13">
                                <w:rPr>
                                  <w:rFonts w:ascii="Arial" w:hAnsi="Arial" w:cs="Arial"/>
                                  <w:b w:val="0"/>
                                  <w:bCs w:val="0"/>
                                  <w:color w:val="1F497D" w:themeColor="text2"/>
                                  <w:sz w:val="16"/>
                                  <w:szCs w:val="16"/>
                                </w:rPr>
                                <w:t xml:space="preserve"> (312)</w:t>
                              </w:r>
                              <w:r w:rsidR="00F20C13">
                                <w:rPr>
                                  <w:rFonts w:ascii="Arial" w:hAnsi="Arial" w:cs="Arial"/>
                                  <w:b w:val="0"/>
                                  <w:bCs w:val="0"/>
                                  <w:color w:val="1F497D" w:themeColor="text2"/>
                                  <w:sz w:val="16"/>
                                  <w:szCs w:val="16"/>
                                </w:rPr>
                                <w:t xml:space="preserve"> </w:t>
                              </w:r>
                              <w:r w:rsidRPr="00F20C13">
                                <w:rPr>
                                  <w:rFonts w:ascii="Arial" w:hAnsi="Arial" w:cs="Arial"/>
                                  <w:b w:val="0"/>
                                  <w:bCs w:val="0"/>
                                  <w:color w:val="1F497D" w:themeColor="text2"/>
                                  <w:sz w:val="16"/>
                                  <w:szCs w:val="16"/>
                                </w:rPr>
                                <w:t xml:space="preserve">814 17 33                               Web-site: </w:t>
                              </w:r>
                              <w:hyperlink r:id="rId7" w:history="1">
                                <w:r w:rsidRPr="00F20C13">
                                  <w:rPr>
                                    <w:rStyle w:val="Hyperlink"/>
                                    <w:rFonts w:ascii="Arial" w:hAnsi="Arial" w:cs="Arial"/>
                                    <w:b w:val="0"/>
                                    <w:bCs w:val="0"/>
                                    <w:color w:val="1F497D" w:themeColor="text2"/>
                                    <w:sz w:val="16"/>
                                    <w:szCs w:val="16"/>
                                  </w:rPr>
                                  <w:t>www.tkv-dft.org.tr</w:t>
                                </w:r>
                              </w:hyperlink>
                              <w:r w:rsidRPr="00F20C13">
                                <w:rPr>
                                  <w:rFonts w:ascii="Arial" w:hAnsi="Arial" w:cs="Arial"/>
                                  <w:b w:val="0"/>
                                  <w:bCs w:val="0"/>
                                  <w:color w:val="1F497D" w:themeColor="text2"/>
                                  <w:sz w:val="16"/>
                                  <w:szCs w:val="16"/>
                                </w:rPr>
                                <w:t xml:space="preserve"> E-posta: </w:t>
                              </w:r>
                              <w:hyperlink r:id="rId8" w:history="1">
                                <w:r w:rsidRPr="00F20C13">
                                  <w:rPr>
                                    <w:rStyle w:val="Hyperlink"/>
                                    <w:rFonts w:ascii="Arial" w:hAnsi="Arial" w:cs="Arial"/>
                                    <w:b w:val="0"/>
                                    <w:bCs w:val="0"/>
                                    <w:color w:val="1F497D" w:themeColor="text2"/>
                                    <w:sz w:val="16"/>
                                    <w:szCs w:val="16"/>
                                  </w:rPr>
                                  <w:t>tkv@tkv-dft.org</w:t>
                                </w:r>
                              </w:hyperlink>
                              <w:r w:rsidR="004E225D">
                                <w:rPr>
                                  <w:rStyle w:val="Hyperlink"/>
                                  <w:rFonts w:ascii="Arial" w:hAnsi="Arial" w:cs="Arial"/>
                                  <w:b w:val="0"/>
                                  <w:bCs w:val="0"/>
                                  <w:color w:val="1F497D" w:themeColor="text2"/>
                                  <w:sz w:val="16"/>
                                  <w:szCs w:val="16"/>
                                </w:rPr>
                                <w:t>.tr</w:t>
                              </w:r>
                            </w:p>
                            <w:p w14:paraId="6A49D900" w14:textId="77777777" w:rsidR="00DE45B7" w:rsidRPr="00900B65" w:rsidRDefault="00DE45B7" w:rsidP="00B547A2">
                              <w:pPr>
                                <w:spacing w:line="264" w:lineRule="auto"/>
                                <w:rPr>
                                  <w:color w:val="1F497D" w:themeColor="text2"/>
                                  <w:sz w:val="16"/>
                                </w:rPr>
                              </w:pPr>
                            </w:p>
                            <w:p w14:paraId="2E16B343" w14:textId="77777777" w:rsidR="00DE45B7" w:rsidRPr="00900B65" w:rsidRDefault="00DE45B7" w:rsidP="00B547A2">
                              <w:pPr>
                                <w:spacing w:line="264" w:lineRule="auto"/>
                                <w:rPr>
                                  <w:color w:val="1F497D" w:themeColor="text2"/>
                                </w:rPr>
                              </w:pPr>
                            </w:p>
                          </w:txbxContent>
                        </wps:txbx>
                        <wps:bodyPr rot="0" vert="horz" wrap="square" lIns="91440" tIns="45720" rIns="91440" bIns="45720" anchor="t" anchorCtr="0" upright="1">
                          <a:noAutofit/>
                        </wps:bodyPr>
                      </wps:wsp>
                      <wps:wsp>
                        <wps:cNvPr id="167" name="Line 225"/>
                        <wps:cNvCnPr>
                          <a:cxnSpLocks noChangeShapeType="1"/>
                        </wps:cNvCnPr>
                        <wps:spPr bwMode="auto">
                          <a:xfrm>
                            <a:off x="2557" y="1349"/>
                            <a:ext cx="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AF9A0A0" id="Group 223" o:spid="_x0000_s1026" style="position:absolute;margin-left:81.6pt;margin-top:6.95pt;width:437.5pt;height:82.95pt;z-index:251736064" coordorigin="2557,968" coordsize="974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">
                <v:shapetype id="_x0000_t202" coordsize="21600,21600" o:spt="202" path="m,l,21600r21600,l21600,xe">
                  <v:stroke joinstyle="miter"/>
                  <v:path gradientshapeok="t" o:connecttype="rect"/>
                </v:shapetype>
                <v:shape id="Text Box 224" o:spid="_x0000_s1027" type="#_x0000_t202" style="position:absolute;left:7579;top:968;width:472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2F246A6E" w14:textId="77777777" w:rsidR="00F20C13" w:rsidRDefault="00DE45B7" w:rsidP="00F20C13">
                        <w:pPr>
                          <w:pStyle w:val="Heading1"/>
                          <w:spacing w:line="264" w:lineRule="auto"/>
                          <w:rPr>
                            <w:rFonts w:ascii="Arial" w:hAnsi="Arial"/>
                            <w:color w:val="1F497D" w:themeColor="text2"/>
                          </w:rPr>
                        </w:pPr>
                        <w:r w:rsidRPr="00900B65">
                          <w:rPr>
                            <w:rFonts w:ascii="Arial" w:hAnsi="Arial"/>
                            <w:color w:val="1F497D" w:themeColor="text2"/>
                          </w:rPr>
                          <w:t>TÜRKİYE KALKINMA VAKFI</w:t>
                        </w:r>
                      </w:p>
                      <w:p w14:paraId="2313DD1F" w14:textId="77777777" w:rsidR="00F20C13" w:rsidRDefault="00F20C13" w:rsidP="00F20C13">
                        <w:pPr>
                          <w:pStyle w:val="Heading1"/>
                          <w:spacing w:line="264" w:lineRule="auto"/>
                          <w:rPr>
                            <w:rFonts w:ascii="Arial" w:hAnsi="Arial" w:cs="Arial"/>
                            <w:b w:val="0"/>
                            <w:bCs w:val="0"/>
                            <w:color w:val="1F497D" w:themeColor="text2"/>
                            <w:sz w:val="16"/>
                            <w:szCs w:val="16"/>
                          </w:rPr>
                        </w:pPr>
                      </w:p>
                      <w:p w14:paraId="4C16BBF6" w14:textId="77777777" w:rsidR="00F20C13" w:rsidRDefault="00900B65" w:rsidP="00F20C13">
                        <w:pPr>
                          <w:pStyle w:val="Heading1"/>
                          <w:spacing w:line="264" w:lineRule="auto"/>
                          <w:rPr>
                            <w:rFonts w:ascii="Arial" w:hAnsi="Arial" w:cs="Arial"/>
                            <w:b w:val="0"/>
                            <w:bCs w:val="0"/>
                            <w:color w:val="1F497D" w:themeColor="text2"/>
                            <w:sz w:val="16"/>
                            <w:szCs w:val="16"/>
                          </w:rPr>
                        </w:pPr>
                        <w:r w:rsidRPr="00F20C13">
                          <w:rPr>
                            <w:rFonts w:ascii="Arial" w:hAnsi="Arial" w:cs="Arial"/>
                            <w:b w:val="0"/>
                            <w:bCs w:val="0"/>
                            <w:color w:val="1F497D" w:themeColor="text2"/>
                            <w:sz w:val="16"/>
                            <w:szCs w:val="16"/>
                          </w:rPr>
                          <w:t>Çukurambar Mah.</w:t>
                        </w:r>
                        <w:r w:rsidR="00F20C13">
                          <w:rPr>
                            <w:rFonts w:ascii="Arial" w:hAnsi="Arial" w:cs="Arial"/>
                            <w:b w:val="0"/>
                            <w:bCs w:val="0"/>
                            <w:color w:val="1F497D" w:themeColor="text2"/>
                            <w:sz w:val="16"/>
                            <w:szCs w:val="16"/>
                          </w:rPr>
                          <w:t xml:space="preserve"> </w:t>
                        </w:r>
                        <w:r w:rsidRPr="00F20C13">
                          <w:rPr>
                            <w:rFonts w:ascii="Arial" w:hAnsi="Arial" w:cs="Arial"/>
                            <w:b w:val="0"/>
                            <w:bCs w:val="0"/>
                            <w:color w:val="1F497D" w:themeColor="text2"/>
                            <w:sz w:val="16"/>
                            <w:szCs w:val="16"/>
                          </w:rPr>
                          <w:t>Malcolm X Cad</w:t>
                        </w:r>
                        <w:r w:rsidR="00F20C13">
                          <w:rPr>
                            <w:rFonts w:ascii="Arial" w:hAnsi="Arial" w:cs="Arial"/>
                            <w:b w:val="0"/>
                            <w:bCs w:val="0"/>
                            <w:color w:val="1F497D" w:themeColor="text2"/>
                            <w:sz w:val="16"/>
                            <w:szCs w:val="16"/>
                          </w:rPr>
                          <w:t>.</w:t>
                        </w:r>
                        <w:r w:rsidRPr="00F20C13">
                          <w:rPr>
                            <w:rFonts w:ascii="Arial" w:hAnsi="Arial" w:cs="Arial"/>
                            <w:b w:val="0"/>
                            <w:bCs w:val="0"/>
                            <w:color w:val="1F497D" w:themeColor="text2"/>
                            <w:sz w:val="16"/>
                            <w:szCs w:val="16"/>
                          </w:rPr>
                          <w:t xml:space="preserve"> Bayındır Apt. </w:t>
                        </w:r>
                        <w:r w:rsidR="00DE45B7" w:rsidRPr="00F20C13">
                          <w:rPr>
                            <w:rFonts w:ascii="Arial" w:hAnsi="Arial" w:cs="Arial"/>
                            <w:b w:val="0"/>
                            <w:bCs w:val="0"/>
                            <w:color w:val="1F497D" w:themeColor="text2"/>
                            <w:sz w:val="16"/>
                            <w:szCs w:val="16"/>
                          </w:rPr>
                          <w:t xml:space="preserve">No: </w:t>
                        </w:r>
                        <w:r w:rsidRPr="00F20C13">
                          <w:rPr>
                            <w:rFonts w:ascii="Arial" w:hAnsi="Arial" w:cs="Arial"/>
                            <w:b w:val="0"/>
                            <w:bCs w:val="0"/>
                            <w:color w:val="1F497D" w:themeColor="text2"/>
                            <w:sz w:val="16"/>
                            <w:szCs w:val="16"/>
                          </w:rPr>
                          <w:t xml:space="preserve">24/14 Çankaya, </w:t>
                        </w:r>
                        <w:r w:rsidR="00DE45B7" w:rsidRPr="00F20C13">
                          <w:rPr>
                            <w:rFonts w:ascii="Arial" w:hAnsi="Arial" w:cs="Arial"/>
                            <w:b w:val="0"/>
                            <w:bCs w:val="0"/>
                            <w:color w:val="1F497D" w:themeColor="text2"/>
                            <w:sz w:val="16"/>
                            <w:szCs w:val="16"/>
                          </w:rPr>
                          <w:t xml:space="preserve">Ankara               </w:t>
                        </w:r>
                      </w:p>
                      <w:p w14:paraId="1F35B412" w14:textId="6E267BB4" w:rsidR="00DE45B7" w:rsidRPr="00F20C13" w:rsidRDefault="00DE45B7" w:rsidP="00F20C13">
                        <w:pPr>
                          <w:pStyle w:val="Heading1"/>
                          <w:spacing w:line="264" w:lineRule="auto"/>
                          <w:rPr>
                            <w:rFonts w:ascii="Arial" w:hAnsi="Arial" w:cs="Arial"/>
                            <w:b w:val="0"/>
                            <w:bCs w:val="0"/>
                            <w:color w:val="1F497D" w:themeColor="text2"/>
                            <w:sz w:val="16"/>
                            <w:szCs w:val="16"/>
                          </w:rPr>
                        </w:pPr>
                        <w:r w:rsidRPr="00F20C13">
                          <w:rPr>
                            <w:rFonts w:ascii="Arial" w:hAnsi="Arial" w:cs="Arial"/>
                            <w:b w:val="0"/>
                            <w:bCs w:val="0"/>
                            <w:color w:val="1F497D" w:themeColor="text2"/>
                            <w:sz w:val="16"/>
                            <w:szCs w:val="16"/>
                          </w:rPr>
                          <w:t>Tel:</w:t>
                        </w:r>
                        <w:r w:rsidR="00900B65" w:rsidRPr="00F20C13">
                          <w:rPr>
                            <w:rFonts w:ascii="Arial" w:hAnsi="Arial" w:cs="Arial"/>
                            <w:b w:val="0"/>
                            <w:bCs w:val="0"/>
                            <w:color w:val="1F497D" w:themeColor="text2"/>
                            <w:sz w:val="16"/>
                            <w:szCs w:val="16"/>
                          </w:rPr>
                          <w:t xml:space="preserve"> 0</w:t>
                        </w:r>
                        <w:r w:rsidRPr="00F20C13">
                          <w:rPr>
                            <w:rFonts w:ascii="Arial" w:hAnsi="Arial" w:cs="Arial"/>
                            <w:b w:val="0"/>
                            <w:bCs w:val="0"/>
                            <w:color w:val="1F497D" w:themeColor="text2"/>
                            <w:sz w:val="16"/>
                            <w:szCs w:val="16"/>
                          </w:rPr>
                          <w:t xml:space="preserve"> (312) 814 53 88 Faks:</w:t>
                        </w:r>
                        <w:r w:rsidR="00900B65" w:rsidRPr="00F20C13">
                          <w:rPr>
                            <w:rFonts w:ascii="Arial" w:hAnsi="Arial" w:cs="Arial"/>
                            <w:b w:val="0"/>
                            <w:bCs w:val="0"/>
                            <w:color w:val="1F497D" w:themeColor="text2"/>
                            <w:sz w:val="16"/>
                            <w:szCs w:val="16"/>
                          </w:rPr>
                          <w:t xml:space="preserve"> 0</w:t>
                        </w:r>
                        <w:r w:rsidRPr="00F20C13">
                          <w:rPr>
                            <w:rFonts w:ascii="Arial" w:hAnsi="Arial" w:cs="Arial"/>
                            <w:b w:val="0"/>
                            <w:bCs w:val="0"/>
                            <w:color w:val="1F497D" w:themeColor="text2"/>
                            <w:sz w:val="16"/>
                            <w:szCs w:val="16"/>
                          </w:rPr>
                          <w:t xml:space="preserve"> (312)</w:t>
                        </w:r>
                        <w:r w:rsidR="00F20C13">
                          <w:rPr>
                            <w:rFonts w:ascii="Arial" w:hAnsi="Arial" w:cs="Arial"/>
                            <w:b w:val="0"/>
                            <w:bCs w:val="0"/>
                            <w:color w:val="1F497D" w:themeColor="text2"/>
                            <w:sz w:val="16"/>
                            <w:szCs w:val="16"/>
                          </w:rPr>
                          <w:t xml:space="preserve"> </w:t>
                        </w:r>
                        <w:r w:rsidRPr="00F20C13">
                          <w:rPr>
                            <w:rFonts w:ascii="Arial" w:hAnsi="Arial" w:cs="Arial"/>
                            <w:b w:val="0"/>
                            <w:bCs w:val="0"/>
                            <w:color w:val="1F497D" w:themeColor="text2"/>
                            <w:sz w:val="16"/>
                            <w:szCs w:val="16"/>
                          </w:rPr>
                          <w:t xml:space="preserve">814 17 33                               Web-site: </w:t>
                        </w:r>
                        <w:hyperlink r:id="rId9" w:history="1">
                          <w:r w:rsidRPr="00F20C13">
                            <w:rPr>
                              <w:rStyle w:val="Hyperlink"/>
                              <w:rFonts w:ascii="Arial" w:hAnsi="Arial" w:cs="Arial"/>
                              <w:b w:val="0"/>
                              <w:bCs w:val="0"/>
                              <w:color w:val="1F497D" w:themeColor="text2"/>
                              <w:sz w:val="16"/>
                              <w:szCs w:val="16"/>
                            </w:rPr>
                            <w:t>www.tkv-dft.org.tr</w:t>
                          </w:r>
                        </w:hyperlink>
                        <w:r w:rsidRPr="00F20C13">
                          <w:rPr>
                            <w:rFonts w:ascii="Arial" w:hAnsi="Arial" w:cs="Arial"/>
                            <w:b w:val="0"/>
                            <w:bCs w:val="0"/>
                            <w:color w:val="1F497D" w:themeColor="text2"/>
                            <w:sz w:val="16"/>
                            <w:szCs w:val="16"/>
                          </w:rPr>
                          <w:t xml:space="preserve"> E-posta: </w:t>
                        </w:r>
                        <w:hyperlink r:id="rId10" w:history="1">
                          <w:r w:rsidRPr="00F20C13">
                            <w:rPr>
                              <w:rStyle w:val="Hyperlink"/>
                              <w:rFonts w:ascii="Arial" w:hAnsi="Arial" w:cs="Arial"/>
                              <w:b w:val="0"/>
                              <w:bCs w:val="0"/>
                              <w:color w:val="1F497D" w:themeColor="text2"/>
                              <w:sz w:val="16"/>
                              <w:szCs w:val="16"/>
                            </w:rPr>
                            <w:t>tkv@tkv-dft.org</w:t>
                          </w:r>
                        </w:hyperlink>
                        <w:r w:rsidR="004E225D">
                          <w:rPr>
                            <w:rStyle w:val="Hyperlink"/>
                            <w:rFonts w:ascii="Arial" w:hAnsi="Arial" w:cs="Arial"/>
                            <w:b w:val="0"/>
                            <w:bCs w:val="0"/>
                            <w:color w:val="1F497D" w:themeColor="text2"/>
                            <w:sz w:val="16"/>
                            <w:szCs w:val="16"/>
                          </w:rPr>
                          <w:t>.tr</w:t>
                        </w:r>
                      </w:p>
                      <w:p w14:paraId="6A49D900" w14:textId="77777777" w:rsidR="00DE45B7" w:rsidRPr="00900B65" w:rsidRDefault="00DE45B7" w:rsidP="00B547A2">
                        <w:pPr>
                          <w:spacing w:line="264" w:lineRule="auto"/>
                          <w:rPr>
                            <w:color w:val="1F497D" w:themeColor="text2"/>
                            <w:sz w:val="16"/>
                          </w:rPr>
                        </w:pPr>
                      </w:p>
                      <w:p w14:paraId="2E16B343" w14:textId="77777777" w:rsidR="00DE45B7" w:rsidRPr="00900B65" w:rsidRDefault="00DE45B7" w:rsidP="00B547A2">
                        <w:pPr>
                          <w:spacing w:line="264" w:lineRule="auto"/>
                          <w:rPr>
                            <w:color w:val="1F497D" w:themeColor="text2"/>
                          </w:rPr>
                        </w:pPr>
                      </w:p>
                    </w:txbxContent>
                  </v:textbox>
                </v:shape>
                <v:line id="Line 225" o:spid="_x0000_s1028" style="position:absolute;visibility:visible;mso-wrap-style:square" from="2557,1349" to="11652,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w:pict>
          </mc:Fallback>
        </mc:AlternateContent>
      </w:r>
    </w:p>
    <w:p w14:paraId="0FA00EA8" w14:textId="77777777" w:rsidR="00B547A2" w:rsidRDefault="00B547A2" w:rsidP="00B547A2"/>
    <w:p w14:paraId="0A5F0D4A" w14:textId="77777777" w:rsidR="00B547A2" w:rsidRDefault="00B547A2" w:rsidP="00B547A2"/>
    <w:p w14:paraId="7B8D8394" w14:textId="77777777" w:rsidR="00B547A2" w:rsidRDefault="00B547A2" w:rsidP="00B547A2"/>
    <w:p w14:paraId="7EFDD1B4" w14:textId="77777777" w:rsidR="00B547A2" w:rsidRDefault="00B547A2" w:rsidP="00B547A2"/>
    <w:p w14:paraId="6A62D9DA" w14:textId="77777777" w:rsidR="00B547A2" w:rsidRDefault="00B547A2" w:rsidP="00B547A2"/>
    <w:p w14:paraId="6D4C7CF3" w14:textId="77777777" w:rsidR="00311C73" w:rsidRDefault="00311C73" w:rsidP="00311C73">
      <w:pPr>
        <w:tabs>
          <w:tab w:val="left" w:pos="6660"/>
        </w:tabs>
        <w:spacing w:line="264" w:lineRule="auto"/>
        <w:rPr>
          <w:rFonts w:ascii="Arial" w:hAnsi="Arial" w:cs="Arial"/>
          <w:b/>
        </w:rPr>
      </w:pPr>
    </w:p>
    <w:p w14:paraId="74EDA349" w14:textId="53A17706" w:rsidR="002810C7" w:rsidRDefault="002810C7" w:rsidP="002810C7">
      <w:pPr>
        <w:rPr>
          <w:rFonts w:ascii="Arial" w:hAnsi="Arial" w:cs="Arial"/>
          <w:sz w:val="22"/>
          <w:szCs w:val="22"/>
        </w:rPr>
      </w:pPr>
    </w:p>
    <w:p w14:paraId="14382C8E" w14:textId="27B14CBB" w:rsidR="00291386" w:rsidRPr="00BB2B39" w:rsidRDefault="00291386" w:rsidP="00291386">
      <w:pPr>
        <w:jc w:val="center"/>
        <w:rPr>
          <w:b/>
          <w:caps/>
          <w:color w:val="000000" w:themeColor="text1"/>
        </w:rPr>
      </w:pPr>
      <w:r w:rsidRPr="00BB2B39">
        <w:rPr>
          <w:b/>
          <w:caps/>
          <w:color w:val="000000" w:themeColor="text1"/>
        </w:rPr>
        <w:t xml:space="preserve">Çocuk Koruma Programı Değerlendirme Çalışması </w:t>
      </w:r>
      <w:r w:rsidRPr="00BB2B39">
        <w:rPr>
          <w:b/>
          <w:caps/>
          <w:color w:val="000000" w:themeColor="text1"/>
        </w:rPr>
        <w:br/>
        <w:t>Hizmet Alım İhalesi</w:t>
      </w:r>
    </w:p>
    <w:p w14:paraId="4A11FB7B" w14:textId="57D979C0" w:rsidR="00291386" w:rsidRDefault="00291386" w:rsidP="00291386">
      <w:pPr>
        <w:jc w:val="center"/>
        <w:rPr>
          <w:b/>
          <w:caps/>
          <w:color w:val="000000" w:themeColor="text1"/>
        </w:rPr>
      </w:pPr>
      <w:r w:rsidRPr="00BB2B39">
        <w:rPr>
          <w:b/>
          <w:caps/>
          <w:color w:val="000000" w:themeColor="text1"/>
        </w:rPr>
        <w:t>İdari ve Teknik Şartname</w:t>
      </w:r>
    </w:p>
    <w:p w14:paraId="4D209018" w14:textId="77777777" w:rsidR="00447927" w:rsidRPr="00BB2B39" w:rsidRDefault="00447927" w:rsidP="00291386">
      <w:pPr>
        <w:jc w:val="center"/>
        <w:rPr>
          <w:b/>
          <w:caps/>
          <w:color w:val="000000" w:themeColor="text1"/>
        </w:rPr>
      </w:pPr>
    </w:p>
    <w:p w14:paraId="2EE98ADB" w14:textId="77777777" w:rsidR="00291386" w:rsidRPr="004A112A" w:rsidRDefault="00291386" w:rsidP="00291386">
      <w:pPr>
        <w:pStyle w:val="ListParagraph"/>
        <w:numPr>
          <w:ilvl w:val="0"/>
          <w:numId w:val="5"/>
        </w:numPr>
        <w:spacing w:after="200" w:line="276" w:lineRule="auto"/>
        <w:jc w:val="both"/>
        <w:rPr>
          <w:b/>
          <w:bCs/>
        </w:rPr>
      </w:pPr>
      <w:r w:rsidRPr="004A112A">
        <w:rPr>
          <w:b/>
          <w:bCs/>
        </w:rPr>
        <w:t>Konu ve Kapsam</w:t>
      </w:r>
    </w:p>
    <w:p w14:paraId="5080BFFC" w14:textId="77777777" w:rsidR="00291386" w:rsidRDefault="00291386" w:rsidP="00291386">
      <w:pPr>
        <w:jc w:val="both"/>
        <w:rPr>
          <w:color w:val="000000" w:themeColor="text1"/>
        </w:rPr>
      </w:pPr>
      <w:r w:rsidRPr="004A112A">
        <w:rPr>
          <w:color w:val="000000" w:themeColor="text1"/>
        </w:rPr>
        <w:t>Bu idari ve teknik şartname, Çocuk Koruma Programının değerlendirme çalışmasının yöntemsel kurgusunu aktarmakta ve hizmet alım ihalesi için araştırma şirketlerine ulaştırılmaktadır. İlgili şartnamede, öncelikle Çocuk Koruma Programı tanıtılmakta ve daha sonra değerlendirme çalışmasının yöntemsel kurgusu detaylandırılmaktadır.</w:t>
      </w:r>
    </w:p>
    <w:p w14:paraId="1D07A062" w14:textId="77777777" w:rsidR="00291386" w:rsidRDefault="00291386" w:rsidP="00291386">
      <w:pPr>
        <w:jc w:val="both"/>
        <w:rPr>
          <w:color w:val="000000" w:themeColor="text1"/>
        </w:rPr>
      </w:pPr>
    </w:p>
    <w:p w14:paraId="76520ADF" w14:textId="54A6C605" w:rsidR="00291386" w:rsidRDefault="00291386" w:rsidP="00291386">
      <w:pPr>
        <w:jc w:val="both"/>
        <w:rPr>
          <w:color w:val="000000" w:themeColor="text1"/>
        </w:rPr>
      </w:pPr>
      <w:r>
        <w:rPr>
          <w:color w:val="000000" w:themeColor="text1"/>
        </w:rPr>
        <w:t xml:space="preserve">Faaliyet </w:t>
      </w:r>
      <w:r w:rsidRPr="00C061A9">
        <w:rPr>
          <w:color w:val="000000" w:themeColor="text1"/>
        </w:rPr>
        <w:t>3.4. Lessons learned and best practises study</w:t>
      </w:r>
      <w:r>
        <w:rPr>
          <w:color w:val="000000" w:themeColor="text1"/>
        </w:rPr>
        <w:t xml:space="preserve"> kapsamında yapılmaktadır. </w:t>
      </w:r>
    </w:p>
    <w:p w14:paraId="4C8CE7D5" w14:textId="77777777" w:rsidR="00291386" w:rsidRPr="004A112A" w:rsidRDefault="00291386" w:rsidP="00291386">
      <w:pPr>
        <w:jc w:val="both"/>
        <w:rPr>
          <w:color w:val="000000" w:themeColor="text1"/>
        </w:rPr>
      </w:pPr>
    </w:p>
    <w:p w14:paraId="44781588" w14:textId="77777777" w:rsidR="00291386" w:rsidRPr="004A112A" w:rsidRDefault="00291386" w:rsidP="00291386">
      <w:pPr>
        <w:pStyle w:val="ListParagraph"/>
        <w:numPr>
          <w:ilvl w:val="0"/>
          <w:numId w:val="5"/>
        </w:numPr>
        <w:spacing w:after="200" w:line="276" w:lineRule="auto"/>
        <w:jc w:val="both"/>
      </w:pPr>
      <w:r w:rsidRPr="004A112A">
        <w:rPr>
          <w:b/>
          <w:color w:val="000000" w:themeColor="text1"/>
        </w:rPr>
        <w:t>Çocuk Koruma Programı: Genel Bakış</w:t>
      </w:r>
    </w:p>
    <w:p w14:paraId="4DDEDA72" w14:textId="77777777" w:rsidR="00291386" w:rsidRDefault="00291386" w:rsidP="00291386">
      <w:pPr>
        <w:jc w:val="both"/>
        <w:rPr>
          <w:bCs/>
        </w:rPr>
      </w:pPr>
      <w:r>
        <w:rPr>
          <w:bCs/>
        </w:rPr>
        <w:t>“</w:t>
      </w:r>
      <w:r w:rsidRPr="007146D1">
        <w:rPr>
          <w:bCs/>
        </w:rPr>
        <w:t>GAP Bölgesi’nde Türk ve Suriyeli Çocuk ve Gençler İçin Sosyal Uyum, Koruma ve Güçlenmeye Destek Projesi</w:t>
      </w:r>
      <w:r>
        <w:rPr>
          <w:bCs/>
        </w:rPr>
        <w:t>”</w:t>
      </w:r>
      <w:r w:rsidRPr="007146D1">
        <w:rPr>
          <w:bCs/>
        </w:rPr>
        <w:t>, GAP Bölge Kalkınma İdaresi Başkanlığı</w:t>
      </w:r>
      <w:r>
        <w:rPr>
          <w:bCs/>
        </w:rPr>
        <w:t xml:space="preserve">, </w:t>
      </w:r>
      <w:r w:rsidRPr="007146D1">
        <w:rPr>
          <w:bCs/>
        </w:rPr>
        <w:t>UNICEF</w:t>
      </w:r>
      <w:r>
        <w:rPr>
          <w:bCs/>
        </w:rPr>
        <w:t xml:space="preserve"> ve </w:t>
      </w:r>
      <w:r w:rsidRPr="007146D1">
        <w:rPr>
          <w:bCs/>
        </w:rPr>
        <w:t xml:space="preserve">Türkiye Kalkınma Vakfı </w:t>
      </w:r>
      <w:r>
        <w:rPr>
          <w:bCs/>
        </w:rPr>
        <w:t xml:space="preserve">ortaklığıyla </w:t>
      </w:r>
      <w:r w:rsidRPr="007146D1">
        <w:rPr>
          <w:bCs/>
        </w:rPr>
        <w:t>uygulanmaktadır. Proje</w:t>
      </w:r>
      <w:r>
        <w:rPr>
          <w:bCs/>
        </w:rPr>
        <w:t xml:space="preserve">, 2017 yılında pilot olarak Şırnak ili Cizre ilçesi, Diyarbakır İli Silvan ilçesi, Şanlıurfa ili Suruç ilçesi ve Kilis illerinde başlamıştır. 2018 yılında Mardin ili Dargeçit ilçesi ve Gaziantep il merkezi dahil edilerek toplam 6 merkezde program uygulanmıştır. 2019 yılında ise program Mardin ili Artuklu ve Kızıltepe ilçeleri, Şanlıurfa Suruç ve Viranşehir ilçeleri, Gaziantep ve Kilis illerinde uygulanmaya başlamıştır. </w:t>
      </w:r>
    </w:p>
    <w:p w14:paraId="6F64469F" w14:textId="77777777" w:rsidR="00291386" w:rsidRDefault="00291386" w:rsidP="00291386">
      <w:pPr>
        <w:jc w:val="both"/>
        <w:rPr>
          <w:bCs/>
        </w:rPr>
      </w:pPr>
    </w:p>
    <w:p w14:paraId="796F31A9" w14:textId="392584CC" w:rsidR="00291386" w:rsidRDefault="00291386" w:rsidP="00291386">
      <w:pPr>
        <w:jc w:val="both"/>
        <w:rPr>
          <w:bCs/>
        </w:rPr>
      </w:pPr>
      <w:r>
        <w:rPr>
          <w:bCs/>
        </w:rPr>
        <w:t xml:space="preserve">Proje şuan aynı yerlerde GAP İdaresi’ne bağlı toplum merkezlerinde yürütülmektedir. </w:t>
      </w:r>
      <w:r w:rsidRPr="007146D1">
        <w:rPr>
          <w:bCs/>
        </w:rPr>
        <w:t>Proje faaliyetlerini; psikososyal destek hizmetleri, kız çocuklarının güçlenmesine yönelik aktiviteler, çocuk koruma faaliyetleri kapsamında vaka yönetimi, saha çalışması, toplumsal cinsiyete dayalı şiddetin önlenmesine yönelik faaliyetler ve kamu kurum ve kuruluşları ile sivil toplum kuruluşları çalışanlarına yönelik kapasite geliştirme eğitimleri oluşturmaktadır.</w:t>
      </w:r>
    </w:p>
    <w:p w14:paraId="550197B3" w14:textId="77777777" w:rsidR="00291386" w:rsidRPr="007146D1" w:rsidRDefault="00291386" w:rsidP="00291386">
      <w:pPr>
        <w:jc w:val="both"/>
        <w:rPr>
          <w:bCs/>
        </w:rPr>
      </w:pPr>
    </w:p>
    <w:p w14:paraId="39D10FF7" w14:textId="77777777" w:rsidR="00291386" w:rsidRPr="004A112A" w:rsidRDefault="00291386" w:rsidP="00291386">
      <w:pPr>
        <w:pStyle w:val="ListParagraph"/>
        <w:numPr>
          <w:ilvl w:val="0"/>
          <w:numId w:val="5"/>
        </w:numPr>
        <w:spacing w:after="200" w:line="276" w:lineRule="auto"/>
        <w:jc w:val="both"/>
        <w:rPr>
          <w:color w:val="000000" w:themeColor="text1"/>
        </w:rPr>
      </w:pPr>
      <w:bookmarkStart w:id="0" w:name="_heading=h.3bs9y9ryuj30" w:colFirst="0" w:colLast="0"/>
      <w:bookmarkEnd w:id="0"/>
      <w:r w:rsidRPr="004A112A">
        <w:rPr>
          <w:b/>
          <w:color w:val="000000" w:themeColor="text1"/>
        </w:rPr>
        <w:t>Çocuk Koruma Programı: İçerik</w:t>
      </w:r>
    </w:p>
    <w:p w14:paraId="19BB730D" w14:textId="77777777" w:rsidR="00291386" w:rsidRDefault="00291386" w:rsidP="00291386">
      <w:pPr>
        <w:pStyle w:val="ListParagraph"/>
        <w:ind w:left="0"/>
        <w:jc w:val="both"/>
        <w:rPr>
          <w:bCs/>
          <w:color w:val="000000" w:themeColor="text1"/>
        </w:rPr>
      </w:pPr>
    </w:p>
    <w:p w14:paraId="245E3C0B" w14:textId="752B507B" w:rsidR="00291386" w:rsidRPr="00DA6B33" w:rsidRDefault="00291386" w:rsidP="00291386">
      <w:pPr>
        <w:pStyle w:val="ListParagraph"/>
        <w:ind w:left="0"/>
        <w:jc w:val="both"/>
        <w:rPr>
          <w:bCs/>
          <w:color w:val="000000" w:themeColor="text1"/>
        </w:rPr>
      </w:pPr>
      <w:r w:rsidRPr="00DA6B33">
        <w:rPr>
          <w:bCs/>
          <w:color w:val="000000" w:themeColor="text1"/>
        </w:rPr>
        <w:t xml:space="preserve">Psikososyal Destek hizmetleri kapsamında Çocuklarda Psikolojik Dayanıklılık Modülü uygulanmaktadır. Bu modül ile çocukların kendilerini, sosyal çevrelerini ve içinde bulundukları toplumu daha yakından tanıyabilmesi; öz farkındalıklarının geliştirilmesi, zorlu yaşam olaylarını fark etme ve bunlarla baş etme kapasitelerinin desteklenmesi amaçlanmaktadır. Bu programa dahil edilen çocuklar ile 10 hafta boyunca 20 oturum gerçekleştirilmektedir. Katılımcıların cinsiyet, yaş ve uyruk dağılımının dengeli olmasına özen gösterilmektedir. Bu çalışmalar ile eş zamanlı olarak başta, ortada ve sonda 3 ebeveyn oturumu yapılmakta, ailenin de bilinçlenmesi amaçlanmaktadır. 10 hafta devamlılık gösteren çocukların bir kısmı ile “Serbest Devam Atölyeleri” yapılmaktadır. Bu atölyelerde çocukları, kendi gelecekleri hakkında düşünmeye teşvik edecek ve onlara rol model olabilecek temalar çalışılmaktadır. PSS programından bugüne toplam 3614 çocuk faydalanmıştır. </w:t>
      </w:r>
    </w:p>
    <w:p w14:paraId="01A34941" w14:textId="77777777" w:rsidR="00291386" w:rsidRDefault="00291386" w:rsidP="00291386">
      <w:pPr>
        <w:pStyle w:val="ListParagraph"/>
        <w:ind w:left="0"/>
        <w:jc w:val="both"/>
        <w:rPr>
          <w:bCs/>
          <w:color w:val="000000" w:themeColor="text1"/>
        </w:rPr>
      </w:pPr>
    </w:p>
    <w:p w14:paraId="4E322625" w14:textId="473970A5" w:rsidR="00291386" w:rsidRPr="00DA6B33" w:rsidRDefault="00291386" w:rsidP="00291386">
      <w:pPr>
        <w:pStyle w:val="ListParagraph"/>
        <w:ind w:left="0"/>
        <w:jc w:val="both"/>
        <w:rPr>
          <w:bCs/>
          <w:color w:val="000000" w:themeColor="text1"/>
        </w:rPr>
      </w:pPr>
      <w:r w:rsidRPr="00DA6B33">
        <w:rPr>
          <w:bCs/>
          <w:color w:val="000000" w:themeColor="text1"/>
        </w:rPr>
        <w:t xml:space="preserve">Psikososyal destek hizmetleri kapsamında Olumlu Ebeveynlik programı yürütülmektedir. Bu program kapsamında ebeveynlerin çocukları ile iletişimlerinin güçlenmesi, aile sistemine dair bilinçlendirme çalışmalarının yapılması, çocuklarının gelişim dönemleri ve gelişimsel ihtiyaçları konusunda farkındalıkların arttırılması, ebeveynlik becerilerinin desteklenmesi amaçlanmaktadır. Ebeveynler ile 9 </w:t>
      </w:r>
      <w:r w:rsidRPr="00DA6B33">
        <w:rPr>
          <w:bCs/>
          <w:color w:val="000000" w:themeColor="text1"/>
        </w:rPr>
        <w:lastRenderedPageBreak/>
        <w:t xml:space="preserve">hafta boyunca süren düzenli çalışmalar gerçekleştirilmektedir. Bu programdan toplam 875 kişi faydalanmıştır. </w:t>
      </w:r>
    </w:p>
    <w:p w14:paraId="145B9EED" w14:textId="77777777" w:rsidR="00291386" w:rsidRDefault="00291386" w:rsidP="00291386">
      <w:pPr>
        <w:pStyle w:val="ListParagraph"/>
        <w:ind w:left="0"/>
        <w:jc w:val="both"/>
        <w:rPr>
          <w:bCs/>
          <w:color w:val="000000" w:themeColor="text1"/>
        </w:rPr>
      </w:pPr>
    </w:p>
    <w:p w14:paraId="74EE4376" w14:textId="11F17C31" w:rsidR="00291386" w:rsidRPr="00DA6B33" w:rsidRDefault="00291386" w:rsidP="00291386">
      <w:pPr>
        <w:pStyle w:val="ListParagraph"/>
        <w:ind w:left="0"/>
        <w:jc w:val="both"/>
        <w:rPr>
          <w:bCs/>
          <w:color w:val="000000" w:themeColor="text1"/>
        </w:rPr>
      </w:pPr>
      <w:r w:rsidRPr="00DA6B33">
        <w:rPr>
          <w:bCs/>
          <w:color w:val="000000" w:themeColor="text1"/>
        </w:rPr>
        <w:t>Psikososyal destek hizmetleri kapsamında Bireysel ve Grupla Psikolojik Danışmanlık hizmetleri sağlanmaktadır.</w:t>
      </w:r>
      <w:r w:rsidR="00BF7B26">
        <w:rPr>
          <w:bCs/>
          <w:color w:val="000000" w:themeColor="text1"/>
        </w:rPr>
        <w:t xml:space="preserve"> </w:t>
      </w:r>
      <w:r w:rsidR="00BF7B26" w:rsidRPr="00BF7B26">
        <w:rPr>
          <w:bCs/>
          <w:color w:val="000000" w:themeColor="text1"/>
        </w:rPr>
        <w:t>Bu hizmetler kapsamında psikosoyal desteğe ihtiyacı olan kız ve oğlan çocukları ve ebeveyn/bakım</w:t>
      </w:r>
      <w:r w:rsidR="00BF7B26">
        <w:rPr>
          <w:bCs/>
          <w:color w:val="000000" w:themeColor="text1"/>
        </w:rPr>
        <w:t xml:space="preserve"> </w:t>
      </w:r>
      <w:r w:rsidR="00BF7B26" w:rsidRPr="00BF7B26">
        <w:rPr>
          <w:bCs/>
          <w:color w:val="000000" w:themeColor="text1"/>
        </w:rPr>
        <w:t>verenlerine yönelik güçlendirici, olumlu baş etme becerilerini ve psikolojik sağlamlıklarını geliştirmeyi/arttırmayı hedefleyen bireysel psikolojik danışmanlık görüşmeleri gerçekleştirilmektedir.</w:t>
      </w:r>
      <w:r w:rsidRPr="00DA6B33">
        <w:rPr>
          <w:bCs/>
          <w:color w:val="000000" w:themeColor="text1"/>
        </w:rPr>
        <w:t xml:space="preserve"> Sosyal ve duygusal zorluklar yaşayan </w:t>
      </w:r>
      <w:r w:rsidR="00BF7B26">
        <w:rPr>
          <w:bCs/>
          <w:color w:val="000000" w:themeColor="text1"/>
        </w:rPr>
        <w:t xml:space="preserve">çocuk ve gençlerle </w:t>
      </w:r>
      <w:r w:rsidRPr="00DA6B33">
        <w:rPr>
          <w:bCs/>
          <w:color w:val="000000" w:themeColor="text1"/>
        </w:rPr>
        <w:t>ortak temalar belirlenerek</w:t>
      </w:r>
      <w:r>
        <w:rPr>
          <w:bCs/>
          <w:color w:val="000000" w:themeColor="text1"/>
        </w:rPr>
        <w:t xml:space="preserve"> </w:t>
      </w:r>
      <w:r w:rsidRPr="00DA6B33">
        <w:rPr>
          <w:bCs/>
          <w:color w:val="000000" w:themeColor="text1"/>
        </w:rPr>
        <w:t xml:space="preserve">(zorbalık, iletişim, kaygı, yas, iletişim, duygular vb.) 6-8 haftalık grupla psikolojik danışmanlık oturumları yapılmaktadır. Bu çalışmalar ile bireyin günlük hayatını sürdürebilme becerilerinin desteklenmesi, problemlerle ve zorlu yaşam olayları ile baş etme kapasitesinin geliştirilmesi ve gelecekte karşılaşacağı durumlarla kendi başına baş edebilir hale gelmeleri amaçlanmaktadır. Birey danışmanlığından 76, grup danışmanlığından 111 kişi faydalanmıştır.  </w:t>
      </w:r>
    </w:p>
    <w:p w14:paraId="4DE2D391" w14:textId="77777777" w:rsidR="00BF7B26" w:rsidRDefault="00BF7B26" w:rsidP="00291386">
      <w:pPr>
        <w:pStyle w:val="ListParagraph"/>
        <w:ind w:left="0"/>
        <w:jc w:val="both"/>
        <w:rPr>
          <w:bCs/>
          <w:color w:val="000000" w:themeColor="text1"/>
        </w:rPr>
      </w:pPr>
    </w:p>
    <w:p w14:paraId="739F06E4" w14:textId="74D4225F" w:rsidR="00291386" w:rsidRPr="00DA6B33" w:rsidRDefault="00291386" w:rsidP="00291386">
      <w:pPr>
        <w:pStyle w:val="ListParagraph"/>
        <w:ind w:left="0"/>
        <w:jc w:val="both"/>
        <w:rPr>
          <w:bCs/>
          <w:color w:val="000000" w:themeColor="text1"/>
        </w:rPr>
      </w:pPr>
      <w:r w:rsidRPr="00DA6B33">
        <w:rPr>
          <w:bCs/>
          <w:color w:val="000000" w:themeColor="text1"/>
        </w:rPr>
        <w:t>Kız çocuklarının ve genç kadınların güçlenmesine dair aktiviteler kapsamında, başta toplumsal cinsiyete dayalı şiddet ve çocuk yaşta evlilikler olmak üzere uygulama merkezlerindeki personel gözlemi, ihtiyaç tespiti ve yararlanıcılardan gelen talepler üzerine farkındalık arttırıcı eğitimler düzenlenmektedir. Bu çalışmalarda amaç, bireylerin ilgili konu hakkında var olan bilgilerini geliştirmek ve davranış değişikliği için gerekli olan zemini hazırlamaktır. Güçlenme çalışmaları dahilinde, rol model buluşmaları yapıl</w:t>
      </w:r>
      <w:r w:rsidR="005150A3">
        <w:rPr>
          <w:bCs/>
          <w:color w:val="000000" w:themeColor="text1"/>
        </w:rPr>
        <w:t xml:space="preserve">makta, bu çalışma ile </w:t>
      </w:r>
      <w:r w:rsidRPr="00DA6B33">
        <w:rPr>
          <w:bCs/>
          <w:color w:val="000000" w:themeColor="text1"/>
        </w:rPr>
        <w:t xml:space="preserve">toplumda sosyal olarak kabul edilebilir ya da uygun görülen toplumsal cinsiyet eşitsizliğinin çocuk koruma risklerinin ortadan kaldırılması lehine değiştirilmesi amaçlanmaktadır. Aynı toplulukta olsalar dahi sosyal olarak kabul edilebilir davranışlara, normlara ya da onaylanmama riskine ilişkin duyarlılık kişiden kişiye değişebilmektedir. Bunun ötesinde hemen her toplulukta yeni davranışlar başlatarak gelişimi etkileyen insanlar bulunduğu öngörüsüyle, toplumda eğitim, ekonomik ya da sosyal ilişkiler açısından güçlenmiş olan kız çocukları ve genç kadınlarla sosyal norm değişikliği başlatılıp, bu öncü kişilerden rol modeller belirlenerek oturumlar düzenlenmektedir. Bu programlardan bugüne kadar toplam 1630 kişi faydalanmıştır. </w:t>
      </w:r>
    </w:p>
    <w:p w14:paraId="1CBD5C7F" w14:textId="77777777" w:rsidR="00291386" w:rsidRDefault="00291386" w:rsidP="00291386">
      <w:pPr>
        <w:pStyle w:val="ListParagraph"/>
        <w:ind w:left="0"/>
        <w:jc w:val="both"/>
        <w:rPr>
          <w:bCs/>
          <w:color w:val="000000" w:themeColor="text1"/>
        </w:rPr>
      </w:pPr>
    </w:p>
    <w:p w14:paraId="36D850F0" w14:textId="49F04939" w:rsidR="00291386" w:rsidRPr="00DA6B33" w:rsidRDefault="00291386" w:rsidP="00291386">
      <w:pPr>
        <w:pStyle w:val="ListParagraph"/>
        <w:ind w:left="0"/>
        <w:jc w:val="both"/>
        <w:rPr>
          <w:bCs/>
          <w:color w:val="000000" w:themeColor="text1"/>
        </w:rPr>
      </w:pPr>
      <w:r w:rsidRPr="00DA6B33">
        <w:rPr>
          <w:bCs/>
          <w:color w:val="000000" w:themeColor="text1"/>
        </w:rPr>
        <w:t>Çocuk koruma faaliyetleri kapsamında koruma risklerinin (çocuk yaşta işçilik, ihmal, toplumsal cinsiyete dayalı şiddet gibi) daha yoğun görüldüğü bölgelerde, belirli bir planlama çerçevesinde risk altındaki çocukların/gençlerin tespitini ve değerlendirmesini yapabilmek, hak ve hizmetlere erişim konusunda ailelere bilgilendirme yapabilmek sağlamak amacıyla saha çalışması yapılmaktadır. Kurumlar, muhtarlar ve yerel aktörler ile koordineli bir şekilde, yerel</w:t>
      </w:r>
      <w:r w:rsidR="005150A3">
        <w:rPr>
          <w:bCs/>
          <w:color w:val="000000" w:themeColor="text1"/>
        </w:rPr>
        <w:t xml:space="preserve"> kurumların ve halkın </w:t>
      </w:r>
      <w:r w:rsidRPr="00DA6B33">
        <w:rPr>
          <w:bCs/>
          <w:color w:val="000000" w:themeColor="text1"/>
        </w:rPr>
        <w:t>hassasiyetlerine uygun olarak yürütülen bu çalışmalarda,</w:t>
      </w:r>
      <w:r w:rsidR="005150A3">
        <w:rPr>
          <w:bCs/>
          <w:color w:val="000000" w:themeColor="text1"/>
        </w:rPr>
        <w:t xml:space="preserve"> koruma</w:t>
      </w:r>
      <w:r w:rsidRPr="00DA6B33">
        <w:rPr>
          <w:bCs/>
          <w:color w:val="000000" w:themeColor="text1"/>
        </w:rPr>
        <w:t xml:space="preserve"> risklerin</w:t>
      </w:r>
      <w:r w:rsidR="005150A3">
        <w:rPr>
          <w:bCs/>
          <w:color w:val="000000" w:themeColor="text1"/>
        </w:rPr>
        <w:t>in</w:t>
      </w:r>
      <w:r w:rsidRPr="00DA6B33">
        <w:rPr>
          <w:bCs/>
          <w:color w:val="000000" w:themeColor="text1"/>
        </w:rPr>
        <w:t xml:space="preserve"> belirlendiği çocuklar/gençler ve aileleri ile sistemli bir çalışma yürütülmektedir. Ek olarak topluluk temelli faaliyetleri daha fazla kişiye eriştirmede katkı sunabilecek kız çocukları ve kadınlardan oluşturulan komiteler ile çalışmalar yapılmaktadır. Komiteler kapsamında çocuk hakları, çocuk koruma, erken tespit ve güvenli yönlendirme, uygulamada hak ve hizmetlere erişim, toplumsal cinsiyete dayalı şiddet konularında ve/veya ihtiyaç duyulan farklı konularda eğitimlerin verilmesi, bu eğitimlerin mahallelerde yaygınlaşması sağlanmaktadır.</w:t>
      </w:r>
    </w:p>
    <w:p w14:paraId="2E795306" w14:textId="77777777" w:rsidR="00291386" w:rsidRDefault="00291386" w:rsidP="00291386">
      <w:pPr>
        <w:pStyle w:val="ListParagraph"/>
        <w:ind w:left="0"/>
        <w:jc w:val="both"/>
        <w:rPr>
          <w:bCs/>
          <w:color w:val="000000" w:themeColor="text1"/>
        </w:rPr>
      </w:pPr>
    </w:p>
    <w:p w14:paraId="23A5E79F" w14:textId="27923148" w:rsidR="00291386" w:rsidRPr="00DA6B33" w:rsidRDefault="00291386" w:rsidP="00291386">
      <w:pPr>
        <w:pStyle w:val="ListParagraph"/>
        <w:ind w:left="0"/>
        <w:jc w:val="both"/>
        <w:rPr>
          <w:bCs/>
          <w:color w:val="000000" w:themeColor="text1"/>
        </w:rPr>
      </w:pPr>
      <w:r w:rsidRPr="00DA6B33">
        <w:rPr>
          <w:bCs/>
          <w:color w:val="000000" w:themeColor="text1"/>
        </w:rPr>
        <w:t>Çocuk koruma faaliyetleri kapsamında korunma ihtiyacı belirlenen çocuğun/gencin ve ailesinin (bakım veren kişiler de dahil olmak üzere) ihtiyaçlarını, doğrudan destek veya iç-dış kaynaklara sevk yöntemiyle, uygun-sistematik bir biçimde ve zamanında karşılamak için vaka yönetimi çalışmaları yapılmakta, ilgili konularda danışmanlıklar verilmektedir. Bu çalışmalarla, risk altındaki çocukların/gençlerin güçlenmesi, iyilik hallerinin ve refahlarının arttırılması amaçlanmaktadır. Çocukların/gençlerin mevcut koruma risklerini azaltmak amacıyla hizmetlerin sunulmasında; ihtiyaç ve risk değerlendirmesi, planlama, uygun kaynakların temini ve harekete geçirilmesi, uygulama, destekleme ve izlemeyi içeren kısa, orta ve uzun vadeli, koruma aktörleriyle işbirliği halinde disiplinler arası bir süreç işletilir. Bu çalışmalarla birlikte çocukların/gençlerin ve ailelerinin kendi kapasitelerinin farkında olmaları, topluluk temelli mekanizmalara katılmaları ve baş etme becerilerini geliştirmeleri sağlanarak karşılaşabilecekleri risklerin üstesinden başarılı bir şekilde gelmeleri hedeflenmektedir.</w:t>
      </w:r>
    </w:p>
    <w:p w14:paraId="76D613D2" w14:textId="77777777" w:rsidR="00291386" w:rsidRDefault="00291386" w:rsidP="00291386">
      <w:pPr>
        <w:pStyle w:val="ListParagraph"/>
        <w:ind w:left="0"/>
        <w:jc w:val="both"/>
        <w:rPr>
          <w:bCs/>
          <w:color w:val="000000" w:themeColor="text1"/>
        </w:rPr>
      </w:pPr>
    </w:p>
    <w:p w14:paraId="2EB38FD6" w14:textId="7F72EC09" w:rsidR="00291386" w:rsidRDefault="00291386" w:rsidP="00291386">
      <w:pPr>
        <w:pStyle w:val="ListParagraph"/>
        <w:ind w:left="0"/>
        <w:jc w:val="both"/>
        <w:rPr>
          <w:bCs/>
          <w:color w:val="000000" w:themeColor="text1"/>
        </w:rPr>
      </w:pPr>
      <w:r w:rsidRPr="00DA6B33">
        <w:rPr>
          <w:bCs/>
          <w:color w:val="000000" w:themeColor="text1"/>
        </w:rPr>
        <w:t>Ayrıca, yapılan değerlendirmeler sonucunda, programın yürütüldüğü illerde kamu kurum ve kuruluşları ile sivil toplum kuruluşları çalışanlarına yönelik çocuk koruma kapsamında kapasite geliştirme eğitimleri planlanmakta ve verilmektedir. Çocuk koruma faaliyetlerinden toplam 6912 kişi faydalanmıştır.</w:t>
      </w:r>
    </w:p>
    <w:p w14:paraId="39A1CCC0" w14:textId="0DC3578D" w:rsidR="00291386" w:rsidRDefault="00291386" w:rsidP="00291386">
      <w:pPr>
        <w:pStyle w:val="ListParagraph"/>
        <w:ind w:left="360"/>
        <w:jc w:val="both"/>
        <w:rPr>
          <w:bCs/>
          <w:color w:val="000000" w:themeColor="text1"/>
        </w:rPr>
      </w:pPr>
    </w:p>
    <w:p w14:paraId="074BE7E4" w14:textId="77777777" w:rsidR="00291386" w:rsidRDefault="00291386" w:rsidP="00291386">
      <w:pPr>
        <w:pStyle w:val="ListParagraph"/>
        <w:ind w:left="360"/>
        <w:jc w:val="both"/>
        <w:rPr>
          <w:bCs/>
          <w:color w:val="000000" w:themeColor="text1"/>
        </w:rPr>
      </w:pPr>
    </w:p>
    <w:p w14:paraId="0F38AA95" w14:textId="77777777" w:rsidR="00291386" w:rsidRPr="004A112A" w:rsidRDefault="00291386" w:rsidP="00291386">
      <w:pPr>
        <w:jc w:val="both"/>
        <w:rPr>
          <w:b/>
          <w:color w:val="000000" w:themeColor="text1"/>
        </w:rPr>
      </w:pPr>
      <w:r w:rsidRPr="004A112A">
        <w:rPr>
          <w:b/>
          <w:color w:val="000000" w:themeColor="text1"/>
        </w:rPr>
        <w:t>4- Değerlendirme Çalışması</w:t>
      </w:r>
    </w:p>
    <w:p w14:paraId="0A98C525" w14:textId="77777777" w:rsidR="00291386" w:rsidRDefault="00291386" w:rsidP="00291386">
      <w:pPr>
        <w:jc w:val="both"/>
        <w:rPr>
          <w:b/>
          <w:bCs/>
        </w:rPr>
      </w:pPr>
    </w:p>
    <w:p w14:paraId="0BF4DEE3" w14:textId="060BB7D9" w:rsidR="00291386" w:rsidRPr="004A112A" w:rsidRDefault="00291386" w:rsidP="00291386">
      <w:pPr>
        <w:jc w:val="both"/>
        <w:rPr>
          <w:b/>
          <w:color w:val="000000" w:themeColor="text1"/>
          <w:highlight w:val="green"/>
        </w:rPr>
      </w:pPr>
      <w:r w:rsidRPr="004A112A">
        <w:rPr>
          <w:b/>
          <w:bCs/>
        </w:rPr>
        <w:t>4.1</w:t>
      </w:r>
      <w:r w:rsidRPr="005B08CF">
        <w:rPr>
          <w:b/>
          <w:bCs/>
        </w:rPr>
        <w:t>.</w:t>
      </w:r>
      <w:r w:rsidRPr="005B08CF">
        <w:t xml:space="preserve"> </w:t>
      </w:r>
      <w:r w:rsidRPr="005B08CF">
        <w:rPr>
          <w:b/>
          <w:color w:val="000000" w:themeColor="text1"/>
        </w:rPr>
        <w:t>Değerlendirme Çalışması: Kapsam ve İçerik</w:t>
      </w:r>
    </w:p>
    <w:p w14:paraId="3C821AE1" w14:textId="77777777" w:rsidR="00291386" w:rsidRDefault="00291386" w:rsidP="00291386">
      <w:pPr>
        <w:jc w:val="both"/>
      </w:pPr>
    </w:p>
    <w:p w14:paraId="4C176C40" w14:textId="0F21F403" w:rsidR="00291386" w:rsidRDefault="00291386" w:rsidP="00291386">
      <w:pPr>
        <w:jc w:val="both"/>
      </w:pPr>
      <w:r w:rsidRPr="004A112A">
        <w:t>Değerlendirme çalışmas</w:t>
      </w:r>
      <w:r>
        <w:t xml:space="preserve">ı, </w:t>
      </w:r>
      <w:r w:rsidRPr="004A112A">
        <w:t>Çocuk Koruma Programının uygulandığı Mardin</w:t>
      </w:r>
      <w:r>
        <w:t xml:space="preserve"> ili</w:t>
      </w:r>
      <w:r w:rsidRPr="004A112A">
        <w:t xml:space="preserve"> Artuklu ve Kızıltepe ilçeleri, Şanlıurfa ili Viranşehir ve Suruç ilçeleri, Gaziantep ve Kilis il</w:t>
      </w:r>
      <w:r>
        <w:t>lerinde yapılacaktır.</w:t>
      </w:r>
    </w:p>
    <w:p w14:paraId="40942CDD" w14:textId="77777777" w:rsidR="007F52BE" w:rsidRDefault="007F52BE" w:rsidP="00291386">
      <w:pPr>
        <w:jc w:val="both"/>
      </w:pPr>
    </w:p>
    <w:p w14:paraId="249ACB2B" w14:textId="2A70B31D" w:rsidR="007F52BE" w:rsidRDefault="007F52BE" w:rsidP="00291386">
      <w:pPr>
        <w:jc w:val="both"/>
      </w:pPr>
      <w:r>
        <w:t xml:space="preserve">Psikososyal Destek Programı, Olumlu Ebeveynlik ve Vaka Yönetimi çalışmalarının değerlendirilmesi beklenmektedir. </w:t>
      </w:r>
    </w:p>
    <w:p w14:paraId="39A0BF86" w14:textId="0498FC8E" w:rsidR="00291386" w:rsidRDefault="00291386" w:rsidP="00291386">
      <w:pPr>
        <w:jc w:val="both"/>
      </w:pPr>
    </w:p>
    <w:p w14:paraId="5A0BB503" w14:textId="77777777" w:rsidR="00291386" w:rsidRDefault="00291386" w:rsidP="00291386">
      <w:pPr>
        <w:jc w:val="both"/>
        <w:rPr>
          <w:b/>
          <w:bCs/>
        </w:rPr>
      </w:pPr>
    </w:p>
    <w:p w14:paraId="66E03D36" w14:textId="664E0466" w:rsidR="00291386" w:rsidRPr="00422C39" w:rsidRDefault="00291386" w:rsidP="00291386">
      <w:pPr>
        <w:jc w:val="both"/>
        <w:rPr>
          <w:b/>
          <w:color w:val="000000" w:themeColor="text1"/>
        </w:rPr>
      </w:pPr>
      <w:r w:rsidRPr="00422C39">
        <w:rPr>
          <w:b/>
          <w:bCs/>
        </w:rPr>
        <w:t>4.2.</w:t>
      </w:r>
      <w:r w:rsidRPr="00422C39">
        <w:t xml:space="preserve"> </w:t>
      </w:r>
      <w:r w:rsidRPr="00422C39">
        <w:rPr>
          <w:b/>
          <w:color w:val="000000" w:themeColor="text1"/>
        </w:rPr>
        <w:t>Değerlendirme Çalışması: Amaç</w:t>
      </w:r>
    </w:p>
    <w:p w14:paraId="4FC25FB8" w14:textId="77777777" w:rsidR="00291386" w:rsidRDefault="00291386" w:rsidP="00291386">
      <w:pPr>
        <w:jc w:val="both"/>
        <w:rPr>
          <w:color w:val="000000" w:themeColor="text1"/>
        </w:rPr>
      </w:pPr>
    </w:p>
    <w:p w14:paraId="43993009" w14:textId="38617BAC" w:rsidR="00291386" w:rsidRPr="00BC3F0B" w:rsidRDefault="00291386" w:rsidP="00291386">
      <w:pPr>
        <w:jc w:val="both"/>
        <w:rPr>
          <w:color w:val="000000" w:themeColor="text1"/>
        </w:rPr>
      </w:pPr>
      <w:r w:rsidRPr="00BC3F0B">
        <w:rPr>
          <w:color w:val="000000" w:themeColor="text1"/>
        </w:rPr>
        <w:t>Çalışma</w:t>
      </w:r>
      <w:r>
        <w:rPr>
          <w:color w:val="000000" w:themeColor="text1"/>
        </w:rPr>
        <w:t xml:space="preserve">, Çocuk Koruma Programının </w:t>
      </w:r>
      <w:r w:rsidRPr="00BC3F0B">
        <w:rPr>
          <w:color w:val="000000" w:themeColor="text1"/>
        </w:rPr>
        <w:t>çocuklar</w:t>
      </w:r>
      <w:r w:rsidR="00422C39">
        <w:rPr>
          <w:color w:val="000000" w:themeColor="text1"/>
        </w:rPr>
        <w:t xml:space="preserve"> ve </w:t>
      </w:r>
      <w:r w:rsidR="007F52BE">
        <w:rPr>
          <w:color w:val="000000" w:themeColor="text1"/>
        </w:rPr>
        <w:t>e</w:t>
      </w:r>
      <w:r>
        <w:rPr>
          <w:color w:val="000000" w:themeColor="text1"/>
        </w:rPr>
        <w:t>beveynler</w:t>
      </w:r>
      <w:r w:rsidR="00422C39">
        <w:rPr>
          <w:color w:val="000000" w:themeColor="text1"/>
        </w:rPr>
        <w:t xml:space="preserve"> üzerindeki etkileri ile </w:t>
      </w:r>
      <w:r w:rsidR="007F52BE">
        <w:rPr>
          <w:color w:val="000000" w:themeColor="text1"/>
        </w:rPr>
        <w:t>program uygulayıcıları</w:t>
      </w:r>
      <w:r w:rsidR="00422C39">
        <w:rPr>
          <w:color w:val="000000" w:themeColor="text1"/>
        </w:rPr>
        <w:t xml:space="preserve">nın program hakkındaki görüşlerini </w:t>
      </w:r>
      <w:r w:rsidR="007F0DC0">
        <w:rPr>
          <w:color w:val="000000" w:themeColor="text1"/>
        </w:rPr>
        <w:t xml:space="preserve">ve katılımcıların program uygulayıcıları hakkındaki görüşlerini </w:t>
      </w:r>
      <w:r w:rsidRPr="00BC3F0B">
        <w:rPr>
          <w:color w:val="000000" w:themeColor="text1"/>
        </w:rPr>
        <w:t>değerlendirmeyi hedeflemektedir.</w:t>
      </w:r>
    </w:p>
    <w:p w14:paraId="1D7317ED" w14:textId="268DC555" w:rsidR="00422C39" w:rsidRDefault="00291386" w:rsidP="00422C39">
      <w:pPr>
        <w:spacing w:afterLines="200" w:after="480"/>
        <w:jc w:val="both"/>
        <w:rPr>
          <w:color w:val="000000" w:themeColor="text1"/>
        </w:rPr>
      </w:pPr>
      <w:r w:rsidRPr="00BC3F0B">
        <w:rPr>
          <w:color w:val="000000" w:themeColor="text1"/>
        </w:rPr>
        <w:t>Bu amaçlar doğrultusunda çalışma</w:t>
      </w:r>
      <w:r w:rsidR="007F0DC0">
        <w:rPr>
          <w:color w:val="000000" w:themeColor="text1"/>
        </w:rPr>
        <w:t xml:space="preserve">nın hedefleri </w:t>
      </w:r>
      <w:r w:rsidRPr="00BC3F0B">
        <w:rPr>
          <w:color w:val="000000" w:themeColor="text1"/>
        </w:rPr>
        <w:t>:</w:t>
      </w:r>
    </w:p>
    <w:p w14:paraId="20FB5B7F" w14:textId="0F0CBC7F" w:rsidR="00422C39" w:rsidRPr="00422C39" w:rsidRDefault="00422C39" w:rsidP="00422C39">
      <w:pPr>
        <w:pStyle w:val="ListParagraph"/>
        <w:numPr>
          <w:ilvl w:val="0"/>
          <w:numId w:val="10"/>
        </w:numPr>
        <w:spacing w:afterLines="200" w:after="480"/>
        <w:jc w:val="both"/>
        <w:rPr>
          <w:color w:val="000000" w:themeColor="text1"/>
        </w:rPr>
      </w:pPr>
      <w:r w:rsidRPr="00422C39">
        <w:t>Programın çocuklar üzerinde</w:t>
      </w:r>
      <w:r w:rsidR="007F0DC0">
        <w:t>ki</w:t>
      </w:r>
      <w:r w:rsidRPr="00422C39">
        <w:t xml:space="preserve"> b</w:t>
      </w:r>
      <w:r w:rsidR="00291386" w:rsidRPr="00422C39">
        <w:t>ilişse</w:t>
      </w:r>
      <w:r w:rsidR="007F0DC0">
        <w:t>l ve</w:t>
      </w:r>
      <w:r w:rsidR="00291386" w:rsidRPr="00422C39">
        <w:t xml:space="preserve"> sosyal-duygusal</w:t>
      </w:r>
      <w:r w:rsidR="007F0DC0">
        <w:t xml:space="preserve"> </w:t>
      </w:r>
      <w:r w:rsidRPr="00422C39">
        <w:t>iyi olma halin</w:t>
      </w:r>
      <w:r>
        <w:t xml:space="preserve">e ilişkin </w:t>
      </w:r>
      <w:r w:rsidR="00291386" w:rsidRPr="00422C39">
        <w:t>etkilerinin değerlendirilmesi</w:t>
      </w:r>
      <w:r>
        <w:t xml:space="preserve">, </w:t>
      </w:r>
    </w:p>
    <w:p w14:paraId="4CB644C3" w14:textId="396BE9B3" w:rsidR="00422C39" w:rsidRPr="00422C39" w:rsidRDefault="00422C39" w:rsidP="00422C39">
      <w:pPr>
        <w:pStyle w:val="ListParagraph"/>
        <w:numPr>
          <w:ilvl w:val="0"/>
          <w:numId w:val="10"/>
        </w:numPr>
        <w:spacing w:afterLines="200" w:after="480"/>
        <w:jc w:val="both"/>
        <w:rPr>
          <w:color w:val="000000" w:themeColor="text1"/>
        </w:rPr>
      </w:pPr>
      <w:r>
        <w:t xml:space="preserve">Programın ebeveyn-çocuk iletişimi, </w:t>
      </w:r>
      <w:r w:rsidR="007F0DC0">
        <w:t xml:space="preserve">etkileşimi </w:t>
      </w:r>
      <w:r>
        <w:t>ve davranış değişiklikleri gibi başlıklarda ebeveynler üzerinde etkisinin değerlendirilmesi,</w:t>
      </w:r>
    </w:p>
    <w:p w14:paraId="1D66DA28" w14:textId="50205278" w:rsidR="00291386" w:rsidRPr="00422C39" w:rsidRDefault="00291386" w:rsidP="00422C39">
      <w:pPr>
        <w:pStyle w:val="ListParagraph"/>
        <w:numPr>
          <w:ilvl w:val="0"/>
          <w:numId w:val="10"/>
        </w:numPr>
        <w:spacing w:afterLines="200" w:after="480"/>
        <w:jc w:val="both"/>
        <w:rPr>
          <w:color w:val="000000" w:themeColor="text1"/>
        </w:rPr>
      </w:pPr>
      <w:r w:rsidRPr="00422C39">
        <w:t xml:space="preserve">Program bileşenlerinde çalışan personelin </w:t>
      </w:r>
      <w:r w:rsidR="00422C39">
        <w:t xml:space="preserve">programa ilişkin </w:t>
      </w:r>
      <w:r w:rsidR="007F0DC0">
        <w:t xml:space="preserve">görüşlerinin ve katılımcıların program uygulayıcılarına yönelik </w:t>
      </w:r>
      <w:r w:rsidRPr="00422C39">
        <w:t xml:space="preserve">görüşlerinin </w:t>
      </w:r>
      <w:r w:rsidR="00422C39">
        <w:t xml:space="preserve">alınması </w:t>
      </w:r>
      <w:r w:rsidRPr="00422C39">
        <w:t xml:space="preserve">amaçlanmaktadır. </w:t>
      </w:r>
    </w:p>
    <w:p w14:paraId="65D6A5C7" w14:textId="77777777" w:rsidR="00291386" w:rsidRDefault="00291386" w:rsidP="00291386">
      <w:pPr>
        <w:jc w:val="both"/>
        <w:rPr>
          <w:b/>
          <w:color w:val="000000" w:themeColor="text1"/>
        </w:rPr>
      </w:pPr>
      <w:r w:rsidRPr="00487705">
        <w:rPr>
          <w:b/>
          <w:bCs/>
        </w:rPr>
        <w:t>4.3.</w:t>
      </w:r>
      <w:r w:rsidRPr="006C4A18">
        <w:t xml:space="preserve"> </w:t>
      </w:r>
      <w:r w:rsidRPr="006E4E42">
        <w:rPr>
          <w:b/>
          <w:color w:val="000000" w:themeColor="text1"/>
        </w:rPr>
        <w:t>Değerlendirme Çalışması: Yöntem (Araştırma Yöntemi)</w:t>
      </w:r>
    </w:p>
    <w:p w14:paraId="76A2C0B8" w14:textId="76A80F54" w:rsidR="00291386" w:rsidRPr="006E4E42" w:rsidRDefault="00291386" w:rsidP="00291386">
      <w:pPr>
        <w:jc w:val="both"/>
        <w:rPr>
          <w:bCs/>
          <w:color w:val="000000" w:themeColor="text1"/>
        </w:rPr>
      </w:pPr>
      <w:r w:rsidRPr="006E4E42">
        <w:rPr>
          <w:bCs/>
          <w:color w:val="000000" w:themeColor="text1"/>
        </w:rPr>
        <w:tab/>
        <w:t xml:space="preserve">4.3.1 Niceliksel çalışmalar </w:t>
      </w:r>
    </w:p>
    <w:p w14:paraId="5CC85598" w14:textId="77777777" w:rsidR="00291386" w:rsidRPr="006E4E42" w:rsidRDefault="00291386" w:rsidP="00291386">
      <w:pPr>
        <w:pStyle w:val="ListParagraph"/>
        <w:numPr>
          <w:ilvl w:val="1"/>
          <w:numId w:val="7"/>
        </w:numPr>
        <w:spacing w:after="200" w:line="276" w:lineRule="auto"/>
        <w:jc w:val="both"/>
        <w:rPr>
          <w:bCs/>
          <w:color w:val="000000" w:themeColor="text1"/>
        </w:rPr>
      </w:pPr>
      <w:r w:rsidRPr="006E4E42">
        <w:rPr>
          <w:bCs/>
          <w:color w:val="000000" w:themeColor="text1"/>
        </w:rPr>
        <w:t>Programdan faydalanan çocuklar</w:t>
      </w:r>
    </w:p>
    <w:p w14:paraId="0C8880B6" w14:textId="77777777" w:rsidR="00291386" w:rsidRPr="006E4E42" w:rsidRDefault="00291386" w:rsidP="00291386">
      <w:pPr>
        <w:pStyle w:val="ListParagraph"/>
        <w:numPr>
          <w:ilvl w:val="1"/>
          <w:numId w:val="7"/>
        </w:numPr>
        <w:spacing w:after="200" w:line="276" w:lineRule="auto"/>
        <w:jc w:val="both"/>
        <w:rPr>
          <w:bCs/>
          <w:color w:val="000000" w:themeColor="text1"/>
        </w:rPr>
      </w:pPr>
      <w:r w:rsidRPr="006E4E42">
        <w:rPr>
          <w:bCs/>
          <w:color w:val="000000" w:themeColor="text1"/>
        </w:rPr>
        <w:t>Ebeveynler</w:t>
      </w:r>
    </w:p>
    <w:p w14:paraId="08454B9F" w14:textId="389B6AB1" w:rsidR="00291386" w:rsidRPr="006E4E42" w:rsidRDefault="007F0DC0" w:rsidP="00291386">
      <w:pPr>
        <w:pStyle w:val="ListParagraph"/>
        <w:numPr>
          <w:ilvl w:val="1"/>
          <w:numId w:val="7"/>
        </w:numPr>
        <w:spacing w:after="200" w:line="276" w:lineRule="auto"/>
        <w:jc w:val="both"/>
        <w:rPr>
          <w:bCs/>
          <w:color w:val="000000" w:themeColor="text1"/>
        </w:rPr>
      </w:pPr>
      <w:r>
        <w:rPr>
          <w:bCs/>
          <w:color w:val="000000" w:themeColor="text1"/>
        </w:rPr>
        <w:t>Program uygulayıcıları</w:t>
      </w:r>
    </w:p>
    <w:p w14:paraId="6572DA51" w14:textId="77777777" w:rsidR="00291386" w:rsidRPr="006E4E42" w:rsidRDefault="00291386" w:rsidP="00291386">
      <w:pPr>
        <w:jc w:val="both"/>
        <w:rPr>
          <w:bCs/>
          <w:color w:val="000000" w:themeColor="text1"/>
        </w:rPr>
      </w:pPr>
      <w:r w:rsidRPr="006E4E42">
        <w:rPr>
          <w:bCs/>
          <w:color w:val="000000" w:themeColor="text1"/>
        </w:rPr>
        <w:t xml:space="preserve"> </w:t>
      </w:r>
      <w:r w:rsidRPr="006E4E42">
        <w:rPr>
          <w:bCs/>
          <w:color w:val="000000" w:themeColor="text1"/>
        </w:rPr>
        <w:tab/>
        <w:t>4.3.2 Niteliksel çalışmalar</w:t>
      </w:r>
    </w:p>
    <w:p w14:paraId="022E412D" w14:textId="77777777" w:rsidR="00291386" w:rsidRPr="006E4E42" w:rsidRDefault="00291386" w:rsidP="00291386">
      <w:pPr>
        <w:pStyle w:val="ListParagraph"/>
        <w:ind w:left="1416"/>
        <w:jc w:val="both"/>
        <w:rPr>
          <w:bCs/>
          <w:color w:val="000000" w:themeColor="text1"/>
        </w:rPr>
      </w:pPr>
      <w:r w:rsidRPr="006E4E42">
        <w:rPr>
          <w:bCs/>
          <w:color w:val="000000" w:themeColor="text1"/>
        </w:rPr>
        <w:t>a. Odak grup görüşmeleri</w:t>
      </w:r>
    </w:p>
    <w:p w14:paraId="43871677" w14:textId="77777777" w:rsidR="00291386" w:rsidRPr="006E4E42" w:rsidRDefault="00291386" w:rsidP="00291386">
      <w:pPr>
        <w:pStyle w:val="ListParagraph"/>
        <w:ind w:left="1416"/>
        <w:jc w:val="both"/>
        <w:rPr>
          <w:bCs/>
          <w:color w:val="000000" w:themeColor="text1"/>
        </w:rPr>
      </w:pPr>
      <w:r w:rsidRPr="006E4E42">
        <w:rPr>
          <w:bCs/>
          <w:color w:val="000000" w:themeColor="text1"/>
        </w:rPr>
        <w:t>b. Derinlemesine bireysel mülakatlar</w:t>
      </w:r>
    </w:p>
    <w:p w14:paraId="3075B923" w14:textId="77777777" w:rsidR="00291386" w:rsidRDefault="00291386" w:rsidP="00291386">
      <w:pPr>
        <w:jc w:val="both"/>
        <w:rPr>
          <w:b/>
          <w:color w:val="000000" w:themeColor="text1"/>
        </w:rPr>
      </w:pPr>
      <w:r>
        <w:rPr>
          <w:b/>
          <w:color w:val="000000" w:themeColor="text1"/>
        </w:rPr>
        <w:t>5. Çalışma Kapsamında Hazırlanması Gereken Raporlar</w:t>
      </w:r>
    </w:p>
    <w:p w14:paraId="2F4C3F65" w14:textId="77777777" w:rsidR="00291386" w:rsidRPr="006E4E42" w:rsidRDefault="00291386" w:rsidP="00291386">
      <w:pPr>
        <w:pStyle w:val="ListParagraph"/>
        <w:numPr>
          <w:ilvl w:val="0"/>
          <w:numId w:val="8"/>
        </w:numPr>
        <w:spacing w:after="200" w:line="276" w:lineRule="auto"/>
        <w:jc w:val="both"/>
        <w:rPr>
          <w:bCs/>
          <w:color w:val="000000" w:themeColor="text1"/>
        </w:rPr>
      </w:pPr>
      <w:r>
        <w:rPr>
          <w:bCs/>
          <w:color w:val="000000" w:themeColor="text1"/>
        </w:rPr>
        <w:t xml:space="preserve">Araştırma </w:t>
      </w:r>
      <w:r w:rsidRPr="00C061A9">
        <w:rPr>
          <w:bCs/>
          <w:color w:val="000000" w:themeColor="text1"/>
        </w:rPr>
        <w:t xml:space="preserve">metodu, </w:t>
      </w:r>
      <w:r w:rsidRPr="006E4E42">
        <w:rPr>
          <w:bCs/>
          <w:color w:val="000000" w:themeColor="text1"/>
        </w:rPr>
        <w:t xml:space="preserve">veri toplama </w:t>
      </w:r>
      <w:r w:rsidRPr="00C061A9">
        <w:rPr>
          <w:bCs/>
          <w:color w:val="000000" w:themeColor="text1"/>
        </w:rPr>
        <w:t xml:space="preserve">araçları ve uygulama takvimini içeren başlangıç raporu (sözleşmenin imzalanmasını takiben </w:t>
      </w:r>
      <w:r>
        <w:rPr>
          <w:bCs/>
          <w:color w:val="000000" w:themeColor="text1"/>
        </w:rPr>
        <w:t xml:space="preserve">1 hafta </w:t>
      </w:r>
      <w:r w:rsidRPr="00C061A9">
        <w:rPr>
          <w:bCs/>
          <w:color w:val="000000" w:themeColor="text1"/>
        </w:rPr>
        <w:t xml:space="preserve">içinde) </w:t>
      </w:r>
    </w:p>
    <w:p w14:paraId="1B28CAB4" w14:textId="77777777" w:rsidR="00291386" w:rsidRPr="006E4E42" w:rsidRDefault="00291386" w:rsidP="00291386">
      <w:pPr>
        <w:pStyle w:val="ListParagraph"/>
        <w:numPr>
          <w:ilvl w:val="0"/>
          <w:numId w:val="8"/>
        </w:numPr>
        <w:spacing w:after="200" w:line="276" w:lineRule="auto"/>
        <w:jc w:val="both"/>
        <w:rPr>
          <w:bCs/>
          <w:color w:val="000000" w:themeColor="text1"/>
        </w:rPr>
      </w:pPr>
      <w:r w:rsidRPr="006E4E42">
        <w:rPr>
          <w:bCs/>
          <w:color w:val="000000" w:themeColor="text1"/>
        </w:rPr>
        <w:t>Taslak rapor (1,5 ay içinde)</w:t>
      </w:r>
    </w:p>
    <w:p w14:paraId="06F51A09" w14:textId="77777777" w:rsidR="00291386" w:rsidRPr="006E4E42" w:rsidRDefault="00291386" w:rsidP="00291386">
      <w:pPr>
        <w:pStyle w:val="ListParagraph"/>
        <w:numPr>
          <w:ilvl w:val="0"/>
          <w:numId w:val="8"/>
        </w:numPr>
        <w:spacing w:after="200" w:line="276" w:lineRule="auto"/>
        <w:jc w:val="both"/>
        <w:rPr>
          <w:bCs/>
          <w:color w:val="000000" w:themeColor="text1"/>
        </w:rPr>
      </w:pPr>
      <w:r w:rsidRPr="006E4E42">
        <w:rPr>
          <w:bCs/>
          <w:color w:val="000000" w:themeColor="text1"/>
        </w:rPr>
        <w:t>Nihai rapor (sözleşme makamının düzeltme isteğinden sonra 1 hafta içinde)</w:t>
      </w:r>
    </w:p>
    <w:p w14:paraId="03F4790E" w14:textId="050A392F" w:rsidR="00291386" w:rsidRDefault="00291386" w:rsidP="00291386">
      <w:pPr>
        <w:pStyle w:val="ListParagraph"/>
        <w:ind w:left="1440"/>
        <w:jc w:val="both"/>
        <w:rPr>
          <w:b/>
          <w:color w:val="000000" w:themeColor="text1"/>
        </w:rPr>
      </w:pPr>
    </w:p>
    <w:p w14:paraId="54D4C0E3" w14:textId="77777777" w:rsidR="00291386" w:rsidRPr="00C061A9" w:rsidRDefault="00291386" w:rsidP="00291386">
      <w:pPr>
        <w:pStyle w:val="ListParagraph"/>
        <w:numPr>
          <w:ilvl w:val="0"/>
          <w:numId w:val="9"/>
        </w:numPr>
        <w:spacing w:after="200" w:line="276" w:lineRule="auto"/>
        <w:jc w:val="both"/>
        <w:rPr>
          <w:b/>
          <w:caps/>
        </w:rPr>
      </w:pPr>
      <w:r w:rsidRPr="00C061A9">
        <w:rPr>
          <w:b/>
        </w:rPr>
        <w:t>İşin Süresi ve Ödemeler</w:t>
      </w:r>
    </w:p>
    <w:p w14:paraId="00F8A427" w14:textId="77777777" w:rsidR="00291386" w:rsidRDefault="00291386" w:rsidP="00291386">
      <w:pPr>
        <w:pStyle w:val="ListParagraph"/>
        <w:ind w:left="0"/>
        <w:jc w:val="both"/>
        <w:rPr>
          <w:bCs/>
        </w:rPr>
      </w:pPr>
    </w:p>
    <w:p w14:paraId="5DBE1DEB" w14:textId="77777777" w:rsidR="00291386" w:rsidRPr="0068251A" w:rsidRDefault="00291386" w:rsidP="00291386">
      <w:pPr>
        <w:pStyle w:val="ListParagraph"/>
        <w:ind w:left="0"/>
        <w:jc w:val="both"/>
        <w:rPr>
          <w:bCs/>
        </w:rPr>
      </w:pPr>
      <w:r w:rsidRPr="0068251A">
        <w:rPr>
          <w:bCs/>
        </w:rPr>
        <w:t>İşin 1</w:t>
      </w:r>
      <w:r>
        <w:rPr>
          <w:bCs/>
        </w:rPr>
        <w:t>5 Mart 2022 b</w:t>
      </w:r>
      <w:r w:rsidRPr="0068251A">
        <w:rPr>
          <w:bCs/>
        </w:rPr>
        <w:t xml:space="preserve">aşlaması ve en geç </w:t>
      </w:r>
      <w:r>
        <w:rPr>
          <w:bCs/>
        </w:rPr>
        <w:t xml:space="preserve">25 Haziran 2022 </w:t>
      </w:r>
      <w:r w:rsidRPr="0068251A">
        <w:rPr>
          <w:bCs/>
        </w:rPr>
        <w:t xml:space="preserve">tamamlanması beklenmektedir. </w:t>
      </w:r>
    </w:p>
    <w:p w14:paraId="618EB196" w14:textId="77777777" w:rsidR="00291386" w:rsidRDefault="00291386" w:rsidP="00291386">
      <w:pPr>
        <w:pStyle w:val="ListParagraph"/>
        <w:ind w:left="0"/>
        <w:jc w:val="both"/>
        <w:rPr>
          <w:bCs/>
        </w:rPr>
      </w:pPr>
    </w:p>
    <w:p w14:paraId="3A3FBE67" w14:textId="77777777" w:rsidR="00291386" w:rsidRPr="0068251A" w:rsidRDefault="00291386" w:rsidP="00291386">
      <w:pPr>
        <w:pStyle w:val="ListParagraph"/>
        <w:ind w:left="0"/>
        <w:jc w:val="both"/>
        <w:rPr>
          <w:bCs/>
        </w:rPr>
      </w:pPr>
      <w:r w:rsidRPr="0068251A">
        <w:rPr>
          <w:bCs/>
        </w:rPr>
        <w:t>Sözleşme imzalandıktan sonra 1</w:t>
      </w:r>
      <w:r>
        <w:rPr>
          <w:bCs/>
        </w:rPr>
        <w:t xml:space="preserve"> hafta </w:t>
      </w:r>
      <w:r w:rsidRPr="0068251A">
        <w:rPr>
          <w:bCs/>
        </w:rPr>
        <w:t>sunulacak Başlangıç Raporunun onaylanmasını takiben   ilk ödeme (%</w:t>
      </w:r>
      <w:r>
        <w:rPr>
          <w:bCs/>
        </w:rPr>
        <w:t>3</w:t>
      </w:r>
      <w:r w:rsidRPr="0068251A">
        <w:rPr>
          <w:bCs/>
        </w:rPr>
        <w:t>0) yapılacaktır. İş bitiminde ise kalan tutarın ödemesi yapılacaktır. Her iki süreçte yapılan çalışmaların onaylanmasından itibaren faturaların Türkiye Kalkınma Vakfı’na ulaştığı tarihten itibaren ödemeler (1) ay içerisinde ilgili banka hesabına yapılacaktır.</w:t>
      </w:r>
    </w:p>
    <w:p w14:paraId="3A78595F" w14:textId="77777777" w:rsidR="00291386" w:rsidRDefault="00291386" w:rsidP="00291386">
      <w:pPr>
        <w:pStyle w:val="ListParagraph"/>
        <w:ind w:left="0"/>
        <w:jc w:val="both"/>
        <w:rPr>
          <w:bCs/>
        </w:rPr>
      </w:pPr>
    </w:p>
    <w:p w14:paraId="36097731" w14:textId="77777777" w:rsidR="00291386" w:rsidRPr="0068251A" w:rsidRDefault="00291386" w:rsidP="00291386">
      <w:pPr>
        <w:pStyle w:val="ListParagraph"/>
        <w:ind w:left="0"/>
        <w:jc w:val="both"/>
        <w:rPr>
          <w:bCs/>
        </w:rPr>
      </w:pPr>
      <w:r w:rsidRPr="0068251A">
        <w:rPr>
          <w:bCs/>
        </w:rPr>
        <w:t>Çalışma kapsamında görev alacak personelin ulaşım, konaklama ve iaşe bedelleri yüklenici tarafından karşılanacaktır.</w:t>
      </w:r>
    </w:p>
    <w:p w14:paraId="242E58F0" w14:textId="77777777" w:rsidR="00291386" w:rsidRPr="00BF0E4C" w:rsidRDefault="00291386" w:rsidP="00291386">
      <w:pPr>
        <w:pStyle w:val="ListParagraph"/>
        <w:ind w:left="360"/>
        <w:jc w:val="both"/>
        <w:rPr>
          <w:b/>
          <w:caps/>
        </w:rPr>
      </w:pPr>
    </w:p>
    <w:p w14:paraId="2116A344" w14:textId="77777777" w:rsidR="00291386" w:rsidRPr="0068251A" w:rsidRDefault="00291386" w:rsidP="00291386">
      <w:pPr>
        <w:pStyle w:val="ListParagraph"/>
        <w:numPr>
          <w:ilvl w:val="0"/>
          <w:numId w:val="9"/>
        </w:numPr>
        <w:spacing w:after="200" w:line="276" w:lineRule="auto"/>
        <w:jc w:val="both"/>
        <w:rPr>
          <w:b/>
          <w:caps/>
        </w:rPr>
      </w:pPr>
      <w:r w:rsidRPr="0068251A">
        <w:rPr>
          <w:b/>
        </w:rPr>
        <w:t>Uygulama ve Yönetim Sorumluluğu</w:t>
      </w:r>
    </w:p>
    <w:p w14:paraId="7C822464" w14:textId="16810A10" w:rsidR="00291386" w:rsidRDefault="00291386" w:rsidP="00291386">
      <w:pPr>
        <w:jc w:val="both"/>
      </w:pPr>
      <w:r w:rsidRPr="00BC3F0B">
        <w:t xml:space="preserve">Çalışmada görev alacak ekip liderinin çalışma içeriği konusunda en az 10 yıl deneyimli olması gerekir. Çalışmada yer alacak tüm ekibin CV’lerinin teklif ile beraber gönderilmesi gerekmektedir. </w:t>
      </w:r>
    </w:p>
    <w:p w14:paraId="6F6BD210" w14:textId="77777777" w:rsidR="00291386" w:rsidRDefault="00291386" w:rsidP="00291386">
      <w:pPr>
        <w:jc w:val="both"/>
      </w:pPr>
    </w:p>
    <w:p w14:paraId="27BB157A" w14:textId="77777777" w:rsidR="00291386" w:rsidRPr="0068251A" w:rsidRDefault="00291386" w:rsidP="00291386">
      <w:pPr>
        <w:pStyle w:val="ListParagraph"/>
        <w:numPr>
          <w:ilvl w:val="0"/>
          <w:numId w:val="9"/>
        </w:numPr>
        <w:spacing w:after="200" w:line="276" w:lineRule="auto"/>
        <w:jc w:val="both"/>
        <w:rPr>
          <w:b/>
        </w:rPr>
      </w:pPr>
      <w:r w:rsidRPr="0068251A">
        <w:rPr>
          <w:b/>
        </w:rPr>
        <w:t>Kontrol ve Onay Aşamaları</w:t>
      </w:r>
    </w:p>
    <w:p w14:paraId="4F33BA9E" w14:textId="5E6C0748" w:rsidR="00291386" w:rsidRDefault="00291386" w:rsidP="00291386">
      <w:pPr>
        <w:tabs>
          <w:tab w:val="left" w:pos="8352"/>
        </w:tabs>
        <w:jc w:val="both"/>
      </w:pPr>
      <w:r w:rsidRPr="00BC3F0B">
        <w:t>Hazırlanan raporlar TKV</w:t>
      </w:r>
      <w:r>
        <w:t xml:space="preserve">’ye </w:t>
      </w:r>
      <w:r w:rsidRPr="00BC3F0B">
        <w:t xml:space="preserve">gönderilecektir.  TKV, proje ortakları ile istişare ettikten sonra bir sonraki aşamaya geçilecektir. </w:t>
      </w:r>
    </w:p>
    <w:p w14:paraId="71604D43" w14:textId="77777777" w:rsidR="00291386" w:rsidRDefault="00291386" w:rsidP="00291386">
      <w:pPr>
        <w:tabs>
          <w:tab w:val="left" w:pos="8352"/>
        </w:tabs>
        <w:jc w:val="both"/>
      </w:pPr>
    </w:p>
    <w:p w14:paraId="0E8B1C50" w14:textId="77777777" w:rsidR="00291386" w:rsidRDefault="00291386" w:rsidP="00291386">
      <w:pPr>
        <w:pStyle w:val="ListParagraph"/>
        <w:numPr>
          <w:ilvl w:val="0"/>
          <w:numId w:val="9"/>
        </w:numPr>
        <w:tabs>
          <w:tab w:val="left" w:pos="8352"/>
        </w:tabs>
        <w:spacing w:after="200" w:line="276" w:lineRule="auto"/>
        <w:jc w:val="both"/>
        <w:rPr>
          <w:b/>
          <w:bCs/>
        </w:rPr>
      </w:pPr>
      <w:r w:rsidRPr="00BB2B39">
        <w:rPr>
          <w:b/>
          <w:bCs/>
        </w:rPr>
        <w:t xml:space="preserve"> Yasal Hükümler</w:t>
      </w:r>
    </w:p>
    <w:p w14:paraId="09C9E589" w14:textId="77777777" w:rsidR="00291386" w:rsidRPr="00BB2B39" w:rsidRDefault="00291386" w:rsidP="00291386">
      <w:pPr>
        <w:pStyle w:val="ListParagraph"/>
        <w:tabs>
          <w:tab w:val="left" w:pos="8352"/>
        </w:tabs>
        <w:ind w:left="0"/>
        <w:jc w:val="both"/>
        <w:rPr>
          <w:b/>
          <w:bCs/>
        </w:rPr>
      </w:pPr>
      <w:r w:rsidRPr="00BB2B39">
        <w:t>Yüklenici, teknik şartnamede belirtilen işlerin yapılmasını sağlayacaktır.</w:t>
      </w:r>
    </w:p>
    <w:p w14:paraId="21775C4A" w14:textId="77777777" w:rsidR="00291386" w:rsidRDefault="00291386" w:rsidP="00291386">
      <w:pPr>
        <w:pStyle w:val="ListParagraph"/>
        <w:tabs>
          <w:tab w:val="left" w:pos="8352"/>
        </w:tabs>
        <w:ind w:left="360"/>
        <w:jc w:val="both"/>
        <w:rPr>
          <w:b/>
          <w:bCs/>
        </w:rPr>
      </w:pPr>
    </w:p>
    <w:p w14:paraId="7B1C3A1A" w14:textId="77777777" w:rsidR="00291386" w:rsidRDefault="00291386" w:rsidP="00291386">
      <w:pPr>
        <w:pStyle w:val="ListParagraph"/>
        <w:tabs>
          <w:tab w:val="left" w:pos="8352"/>
        </w:tabs>
        <w:ind w:left="360"/>
        <w:jc w:val="both"/>
        <w:rPr>
          <w:b/>
          <w:bCs/>
        </w:rPr>
      </w:pPr>
    </w:p>
    <w:p w14:paraId="04EDF2A2" w14:textId="77777777" w:rsidR="00291386" w:rsidRPr="00BB2B39" w:rsidRDefault="00291386" w:rsidP="00291386">
      <w:pPr>
        <w:pStyle w:val="ListParagraph"/>
        <w:numPr>
          <w:ilvl w:val="0"/>
          <w:numId w:val="9"/>
        </w:numPr>
        <w:tabs>
          <w:tab w:val="left" w:pos="8352"/>
        </w:tabs>
        <w:spacing w:after="200" w:line="276" w:lineRule="auto"/>
        <w:jc w:val="both"/>
        <w:rPr>
          <w:b/>
          <w:bCs/>
        </w:rPr>
      </w:pPr>
      <w:r w:rsidRPr="00BB2B39">
        <w:rPr>
          <w:b/>
        </w:rPr>
        <w:t>Cezai Şartlar</w:t>
      </w:r>
    </w:p>
    <w:p w14:paraId="3781D5A4" w14:textId="77777777" w:rsidR="00291386" w:rsidRPr="00BB2B39" w:rsidRDefault="00291386" w:rsidP="00291386">
      <w:pPr>
        <w:jc w:val="both"/>
      </w:pPr>
      <w:r w:rsidRPr="00BC3F0B">
        <w:t xml:space="preserve">Teknik şartnamede belirtilen tarihte işlerin bitirilmemesi durumunda Sözleşme makamı sözleşmeyi tek taraflı feshetme hakkını saklı tutar. Yüklenici (tedarikçi), bu durumda, </w:t>
      </w:r>
      <w:r w:rsidRPr="00BB2B39">
        <w:t>sözleşmenin feshinden doğan zararlarının karşılanması talebinde bulunamaz.</w:t>
      </w:r>
    </w:p>
    <w:p w14:paraId="2EADD909" w14:textId="77777777" w:rsidR="00291386" w:rsidRDefault="00291386" w:rsidP="00291386">
      <w:pPr>
        <w:jc w:val="both"/>
        <w:rPr>
          <w:b/>
          <w:bCs/>
        </w:rPr>
      </w:pPr>
    </w:p>
    <w:p w14:paraId="0AEDD58A" w14:textId="3C62A056" w:rsidR="00291386" w:rsidRPr="00BB2B39" w:rsidRDefault="00291386" w:rsidP="00291386">
      <w:pPr>
        <w:jc w:val="both"/>
        <w:rPr>
          <w:b/>
          <w:bCs/>
        </w:rPr>
      </w:pPr>
      <w:r w:rsidRPr="00BB2B39">
        <w:rPr>
          <w:b/>
          <w:bCs/>
        </w:rPr>
        <w:t xml:space="preserve">11. Firmaların/Uzmanların İhaleye Getirecekleri Belgeler </w:t>
      </w:r>
    </w:p>
    <w:p w14:paraId="6125C441" w14:textId="77777777" w:rsidR="00291386" w:rsidRPr="00BB2B39" w:rsidRDefault="00291386" w:rsidP="00291386">
      <w:pPr>
        <w:ind w:left="708"/>
        <w:jc w:val="both"/>
      </w:pPr>
      <w:r w:rsidRPr="00BB2B39">
        <w:rPr>
          <w:b/>
          <w:bCs/>
        </w:rPr>
        <w:t xml:space="preserve">11.1 Teknik Teklif: </w:t>
      </w:r>
      <w:r w:rsidRPr="00BB2B39">
        <w:t>Teknik teklif içeriği aşağıdaki başlıkları içerecektir.</w:t>
      </w:r>
    </w:p>
    <w:p w14:paraId="00E6E981" w14:textId="77777777" w:rsidR="00291386" w:rsidRPr="00BB2B39" w:rsidRDefault="00291386" w:rsidP="00291386">
      <w:pPr>
        <w:ind w:left="1416"/>
        <w:jc w:val="both"/>
        <w:rPr>
          <w:color w:val="000000" w:themeColor="text1"/>
        </w:rPr>
      </w:pPr>
      <w:r w:rsidRPr="00BB2B39">
        <w:t xml:space="preserve"> </w:t>
      </w:r>
      <w:r w:rsidRPr="00BB2B39">
        <w:rPr>
          <w:color w:val="000000" w:themeColor="text1"/>
        </w:rPr>
        <w:t>- Yaklaşım</w:t>
      </w:r>
    </w:p>
    <w:p w14:paraId="35989EF4" w14:textId="77777777" w:rsidR="00291386" w:rsidRPr="00BB2B39" w:rsidRDefault="00291386" w:rsidP="00291386">
      <w:pPr>
        <w:ind w:left="1416"/>
        <w:jc w:val="both"/>
        <w:rPr>
          <w:color w:val="000000" w:themeColor="text1"/>
        </w:rPr>
      </w:pPr>
      <w:r w:rsidRPr="00BB2B39">
        <w:rPr>
          <w:color w:val="000000" w:themeColor="text1"/>
        </w:rPr>
        <w:t>- Metodoloji</w:t>
      </w:r>
    </w:p>
    <w:p w14:paraId="3B16CD1C" w14:textId="77777777" w:rsidR="00291386" w:rsidRPr="00BB2B39" w:rsidRDefault="00291386" w:rsidP="00291386">
      <w:pPr>
        <w:ind w:left="1416"/>
        <w:jc w:val="both"/>
        <w:rPr>
          <w:color w:val="000000" w:themeColor="text1"/>
        </w:rPr>
      </w:pPr>
      <w:r w:rsidRPr="00BB2B39">
        <w:rPr>
          <w:color w:val="000000" w:themeColor="text1"/>
        </w:rPr>
        <w:t>- Araştırma ekibi ve ekip üyelerinin iş tanımı</w:t>
      </w:r>
    </w:p>
    <w:p w14:paraId="74C781A3" w14:textId="77777777" w:rsidR="00291386" w:rsidRPr="00BB2B39" w:rsidRDefault="00291386" w:rsidP="00291386">
      <w:pPr>
        <w:ind w:left="1416"/>
        <w:jc w:val="both"/>
        <w:rPr>
          <w:color w:val="000000" w:themeColor="text1"/>
        </w:rPr>
      </w:pPr>
      <w:r w:rsidRPr="00BB2B39">
        <w:rPr>
          <w:color w:val="000000" w:themeColor="text1"/>
        </w:rPr>
        <w:t>- Zaman planı</w:t>
      </w:r>
    </w:p>
    <w:p w14:paraId="24C53B95" w14:textId="77777777" w:rsidR="00291386" w:rsidRPr="00BB2B39" w:rsidRDefault="00291386" w:rsidP="00291386">
      <w:pPr>
        <w:ind w:left="708"/>
        <w:jc w:val="both"/>
        <w:rPr>
          <w:b/>
          <w:bCs/>
        </w:rPr>
      </w:pPr>
      <w:r w:rsidRPr="00BB2B39">
        <w:rPr>
          <w:b/>
          <w:bCs/>
        </w:rPr>
        <w:t>11.2 Proje ekibinde yer alacakların CV’leri</w:t>
      </w:r>
    </w:p>
    <w:p w14:paraId="3D8B963A" w14:textId="77777777" w:rsidR="00291386" w:rsidRDefault="00291386" w:rsidP="00291386">
      <w:pPr>
        <w:jc w:val="both"/>
      </w:pPr>
    </w:p>
    <w:p w14:paraId="2F0EF368" w14:textId="77777777" w:rsidR="00291386" w:rsidRDefault="00291386" w:rsidP="00291386">
      <w:pPr>
        <w:jc w:val="both"/>
      </w:pPr>
    </w:p>
    <w:p w14:paraId="6B9CA96E" w14:textId="77777777" w:rsidR="00291386" w:rsidRDefault="00291386" w:rsidP="00291386">
      <w:pPr>
        <w:jc w:val="both"/>
      </w:pPr>
    </w:p>
    <w:p w14:paraId="741CDA31" w14:textId="77777777" w:rsidR="00291386" w:rsidRDefault="00291386" w:rsidP="00291386">
      <w:pPr>
        <w:jc w:val="both"/>
      </w:pPr>
    </w:p>
    <w:p w14:paraId="11EB861C" w14:textId="77777777" w:rsidR="00291386" w:rsidRDefault="00291386" w:rsidP="00291386">
      <w:pPr>
        <w:jc w:val="both"/>
      </w:pPr>
    </w:p>
    <w:p w14:paraId="1384A0D7" w14:textId="77777777" w:rsidR="00291386" w:rsidRDefault="00291386" w:rsidP="00291386">
      <w:pPr>
        <w:jc w:val="both"/>
      </w:pPr>
    </w:p>
    <w:p w14:paraId="621B0237" w14:textId="77777777" w:rsidR="00291386" w:rsidRDefault="00291386" w:rsidP="00291386">
      <w:pPr>
        <w:jc w:val="both"/>
      </w:pPr>
    </w:p>
    <w:p w14:paraId="4130D4F7" w14:textId="77777777" w:rsidR="00291386" w:rsidRDefault="00291386" w:rsidP="00291386">
      <w:pPr>
        <w:jc w:val="both"/>
      </w:pPr>
    </w:p>
    <w:p w14:paraId="0966F188" w14:textId="77777777" w:rsidR="00291386" w:rsidRDefault="00291386" w:rsidP="00291386">
      <w:pPr>
        <w:jc w:val="both"/>
      </w:pPr>
    </w:p>
    <w:p w14:paraId="4D4CB42A" w14:textId="77777777" w:rsidR="00291386" w:rsidRDefault="00291386" w:rsidP="00291386">
      <w:pPr>
        <w:jc w:val="both"/>
      </w:pPr>
    </w:p>
    <w:p w14:paraId="12A88D39" w14:textId="77777777" w:rsidR="00291386" w:rsidRDefault="00291386" w:rsidP="00291386">
      <w:pPr>
        <w:jc w:val="both"/>
      </w:pPr>
    </w:p>
    <w:p w14:paraId="673E6EA4" w14:textId="77777777" w:rsidR="00291386" w:rsidRDefault="00291386" w:rsidP="00291386">
      <w:pPr>
        <w:jc w:val="both"/>
      </w:pPr>
    </w:p>
    <w:p w14:paraId="6127667D" w14:textId="77777777" w:rsidR="00291386" w:rsidRDefault="00291386" w:rsidP="00291386">
      <w:pPr>
        <w:jc w:val="both"/>
      </w:pPr>
    </w:p>
    <w:p w14:paraId="3F93AC3E" w14:textId="77777777" w:rsidR="00291386" w:rsidRDefault="00291386" w:rsidP="00291386">
      <w:pPr>
        <w:jc w:val="both"/>
      </w:pPr>
    </w:p>
    <w:p w14:paraId="1F439068" w14:textId="77777777" w:rsidR="00291386" w:rsidRDefault="00291386" w:rsidP="00291386">
      <w:pPr>
        <w:jc w:val="both"/>
      </w:pPr>
    </w:p>
    <w:p w14:paraId="7E079D00" w14:textId="77777777" w:rsidR="00291386" w:rsidRDefault="00291386" w:rsidP="00291386">
      <w:pPr>
        <w:jc w:val="both"/>
      </w:pPr>
    </w:p>
    <w:p w14:paraId="051F0430" w14:textId="77777777" w:rsidR="00291386" w:rsidRDefault="00291386" w:rsidP="00291386">
      <w:pPr>
        <w:jc w:val="both"/>
      </w:pPr>
    </w:p>
    <w:p w14:paraId="11F04A3B" w14:textId="77777777" w:rsidR="00291386" w:rsidRDefault="00291386" w:rsidP="00291386">
      <w:pPr>
        <w:jc w:val="both"/>
      </w:pPr>
    </w:p>
    <w:p w14:paraId="4A5C7407" w14:textId="3F0B0FC4" w:rsidR="00291386" w:rsidRDefault="00291386" w:rsidP="00291386">
      <w:pPr>
        <w:jc w:val="both"/>
      </w:pPr>
    </w:p>
    <w:p w14:paraId="26689EEE" w14:textId="16A5EA4E" w:rsidR="00422C39" w:rsidRDefault="00422C39" w:rsidP="00291386">
      <w:pPr>
        <w:jc w:val="both"/>
      </w:pPr>
    </w:p>
    <w:p w14:paraId="761A5DA4" w14:textId="6C875C54" w:rsidR="00422C39" w:rsidRDefault="00422C39" w:rsidP="00291386">
      <w:pPr>
        <w:jc w:val="both"/>
      </w:pPr>
    </w:p>
    <w:p w14:paraId="1FEDF72E" w14:textId="07307283" w:rsidR="00422C39" w:rsidRDefault="00422C39" w:rsidP="00291386">
      <w:pPr>
        <w:jc w:val="both"/>
      </w:pPr>
    </w:p>
    <w:p w14:paraId="68A5B40D" w14:textId="37F933DC" w:rsidR="00422C39" w:rsidRDefault="00422C39" w:rsidP="00291386">
      <w:pPr>
        <w:jc w:val="both"/>
      </w:pPr>
    </w:p>
    <w:p w14:paraId="6E47504B" w14:textId="40E03120" w:rsidR="00422C39" w:rsidRDefault="00422C39" w:rsidP="00291386">
      <w:pPr>
        <w:jc w:val="both"/>
      </w:pPr>
    </w:p>
    <w:p w14:paraId="73C97768" w14:textId="12F6C85F" w:rsidR="00422C39" w:rsidRDefault="00422C39" w:rsidP="00291386">
      <w:pPr>
        <w:jc w:val="both"/>
      </w:pPr>
    </w:p>
    <w:p w14:paraId="20719418" w14:textId="404B1D4F" w:rsidR="00422C39" w:rsidRDefault="00422C39" w:rsidP="00291386">
      <w:pPr>
        <w:jc w:val="both"/>
      </w:pPr>
    </w:p>
    <w:p w14:paraId="1CB02935" w14:textId="77777777" w:rsidR="00422C39" w:rsidRDefault="00422C39" w:rsidP="00291386">
      <w:pPr>
        <w:jc w:val="both"/>
      </w:pPr>
    </w:p>
    <w:p w14:paraId="57DC0C07" w14:textId="77777777" w:rsidR="00291386" w:rsidRDefault="00291386" w:rsidP="00291386">
      <w:pPr>
        <w:jc w:val="both"/>
      </w:pPr>
    </w:p>
    <w:p w14:paraId="2FC6606E" w14:textId="77777777" w:rsidR="00291386" w:rsidRDefault="00291386" w:rsidP="00291386">
      <w:pPr>
        <w:jc w:val="center"/>
      </w:pPr>
    </w:p>
    <w:p w14:paraId="686E2769" w14:textId="77777777" w:rsidR="00291386" w:rsidRPr="00BB2B39" w:rsidRDefault="00291386" w:rsidP="00291386">
      <w:pPr>
        <w:jc w:val="center"/>
      </w:pPr>
      <w:r w:rsidRPr="00BB2B39">
        <w:t>TÜRKİYE KALKINMA VAKFI YÖNETİM KURULU BAŞKANLIĞI’NA,</w:t>
      </w:r>
    </w:p>
    <w:p w14:paraId="64EAE3F9" w14:textId="77777777" w:rsidR="00291386" w:rsidRPr="00BB2B39" w:rsidRDefault="00291386" w:rsidP="00291386">
      <w:pPr>
        <w:jc w:val="both"/>
      </w:pPr>
    </w:p>
    <w:p w14:paraId="2238B8D3" w14:textId="77777777" w:rsidR="00291386" w:rsidRPr="00BB2B39" w:rsidRDefault="00291386" w:rsidP="00291386">
      <w:pPr>
        <w:jc w:val="both"/>
      </w:pPr>
    </w:p>
    <w:p w14:paraId="751749AC" w14:textId="77777777" w:rsidR="00291386" w:rsidRPr="00BB2B39" w:rsidRDefault="00291386" w:rsidP="00291386">
      <w:pPr>
        <w:jc w:val="both"/>
      </w:pPr>
    </w:p>
    <w:p w14:paraId="19722F37" w14:textId="77777777" w:rsidR="00291386" w:rsidRPr="00BB2B39" w:rsidRDefault="00291386" w:rsidP="00291386">
      <w:pPr>
        <w:jc w:val="both"/>
      </w:pPr>
    </w:p>
    <w:p w14:paraId="4C8A21D4" w14:textId="77777777" w:rsidR="00291386" w:rsidRPr="00BB2B39" w:rsidRDefault="00291386" w:rsidP="00291386">
      <w:pPr>
        <w:jc w:val="both"/>
      </w:pPr>
    </w:p>
    <w:p w14:paraId="6A409B7A" w14:textId="77777777" w:rsidR="00291386" w:rsidRPr="00BB2B39" w:rsidRDefault="00291386" w:rsidP="00291386">
      <w:pPr>
        <w:jc w:val="both"/>
      </w:pPr>
      <w:r w:rsidRPr="00BB2B39">
        <w:t>Sayın Yetkili,</w:t>
      </w:r>
    </w:p>
    <w:p w14:paraId="4B9992E0" w14:textId="77777777" w:rsidR="00291386" w:rsidRPr="00BB2B39" w:rsidRDefault="00291386" w:rsidP="00291386">
      <w:pPr>
        <w:jc w:val="both"/>
      </w:pPr>
      <w:r w:rsidRPr="00BB2B39">
        <w:t>Ekte imzalı şartnamesi yer alan iş için firmamızın fiyat teklifi (KDV DAHİL)…………………………………… (yazı ile) TL’dir.</w:t>
      </w:r>
    </w:p>
    <w:p w14:paraId="5DA4895E" w14:textId="77777777" w:rsidR="00291386" w:rsidRPr="00BB2B39" w:rsidRDefault="00291386" w:rsidP="00291386">
      <w:pPr>
        <w:jc w:val="both"/>
      </w:pPr>
    </w:p>
    <w:p w14:paraId="0C36CDDE" w14:textId="77777777" w:rsidR="00291386" w:rsidRPr="00BB2B39" w:rsidRDefault="00291386" w:rsidP="00291386">
      <w:pPr>
        <w:jc w:val="both"/>
      </w:pPr>
    </w:p>
    <w:p w14:paraId="2D8474A6" w14:textId="77777777" w:rsidR="00291386" w:rsidRPr="00BB2B39" w:rsidRDefault="00291386" w:rsidP="00291386">
      <w:pPr>
        <w:jc w:val="both"/>
      </w:pPr>
      <w:r w:rsidRPr="00BB2B39">
        <w:t>Bilgilerinize arz ederim.</w:t>
      </w:r>
    </w:p>
    <w:p w14:paraId="4D7BC438" w14:textId="77777777" w:rsidR="00291386" w:rsidRPr="00BB2B39" w:rsidRDefault="00291386" w:rsidP="00291386">
      <w:pPr>
        <w:jc w:val="both"/>
      </w:pPr>
      <w:r w:rsidRPr="00BB2B39">
        <w:t>Yetkilinin ,</w:t>
      </w:r>
    </w:p>
    <w:p w14:paraId="20236FDD" w14:textId="77777777" w:rsidR="00291386" w:rsidRPr="00BB2B39" w:rsidRDefault="00291386" w:rsidP="00291386">
      <w:pPr>
        <w:jc w:val="both"/>
      </w:pPr>
      <w:r w:rsidRPr="00BB2B39">
        <w:t>Adı-Soyadı</w:t>
      </w:r>
    </w:p>
    <w:p w14:paraId="0A872AC2" w14:textId="77777777" w:rsidR="00291386" w:rsidRPr="00BB2B39" w:rsidRDefault="00291386" w:rsidP="00291386">
      <w:pPr>
        <w:jc w:val="both"/>
      </w:pPr>
      <w:r w:rsidRPr="00BB2B39">
        <w:t>Pozisyonu</w:t>
      </w:r>
    </w:p>
    <w:p w14:paraId="7E80142A" w14:textId="77777777" w:rsidR="00291386" w:rsidRPr="00BB2B39" w:rsidRDefault="00291386" w:rsidP="00291386">
      <w:pPr>
        <w:jc w:val="both"/>
      </w:pPr>
      <w:r w:rsidRPr="00BB2B39">
        <w:t>İmza</w:t>
      </w:r>
    </w:p>
    <w:p w14:paraId="1292783C" w14:textId="77777777" w:rsidR="00291386" w:rsidRPr="00BB2B39" w:rsidRDefault="00291386" w:rsidP="00291386">
      <w:pPr>
        <w:jc w:val="both"/>
      </w:pPr>
      <w:r w:rsidRPr="00BB2B39">
        <w:t>Kaşe</w:t>
      </w:r>
    </w:p>
    <w:p w14:paraId="745FFF49" w14:textId="77777777" w:rsidR="00291386" w:rsidRPr="004E2FB6" w:rsidRDefault="00291386" w:rsidP="002810C7">
      <w:pPr>
        <w:rPr>
          <w:rFonts w:ascii="Arial" w:hAnsi="Arial" w:cs="Arial"/>
          <w:sz w:val="22"/>
          <w:szCs w:val="22"/>
        </w:rPr>
      </w:pPr>
    </w:p>
    <w:sectPr w:rsidR="00291386" w:rsidRPr="004E2FB6" w:rsidSect="00E3639A">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54"/>
    <w:multiLevelType w:val="multilevel"/>
    <w:tmpl w:val="1398241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C95D96"/>
    <w:multiLevelType w:val="hybridMultilevel"/>
    <w:tmpl w:val="4E849A76"/>
    <w:lvl w:ilvl="0" w:tplc="623CF52C">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C6368"/>
    <w:multiLevelType w:val="hybridMultilevel"/>
    <w:tmpl w:val="ABDED8C4"/>
    <w:lvl w:ilvl="0" w:tplc="32403A66">
      <w:start w:val="128"/>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3F5D0B"/>
    <w:multiLevelType w:val="multilevel"/>
    <w:tmpl w:val="00225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F35F1"/>
    <w:multiLevelType w:val="hybridMultilevel"/>
    <w:tmpl w:val="08BED14C"/>
    <w:lvl w:ilvl="0" w:tplc="0A36122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532B4C"/>
    <w:multiLevelType w:val="hybridMultilevel"/>
    <w:tmpl w:val="6598000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8D37DD"/>
    <w:multiLevelType w:val="hybridMultilevel"/>
    <w:tmpl w:val="8ADED184"/>
    <w:lvl w:ilvl="0" w:tplc="312855D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D66460"/>
    <w:multiLevelType w:val="hybridMultilevel"/>
    <w:tmpl w:val="F21A7484"/>
    <w:lvl w:ilvl="0" w:tplc="041F000F">
      <w:start w:val="6"/>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9D86031"/>
    <w:multiLevelType w:val="hybridMultilevel"/>
    <w:tmpl w:val="99A866E4"/>
    <w:lvl w:ilvl="0" w:tplc="C3482FD6">
      <w:start w:val="1"/>
      <w:numFmt w:val="decimal"/>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F45EC7"/>
    <w:multiLevelType w:val="hybridMultilevel"/>
    <w:tmpl w:val="92647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8"/>
  </w:num>
  <w:num w:numId="6">
    <w:abstractNumId w:val="0"/>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DB"/>
    <w:rsid w:val="00007A1A"/>
    <w:rsid w:val="00025ADC"/>
    <w:rsid w:val="000457BD"/>
    <w:rsid w:val="00075DFA"/>
    <w:rsid w:val="00077D1B"/>
    <w:rsid w:val="0008798A"/>
    <w:rsid w:val="00095E6F"/>
    <w:rsid w:val="000A12C5"/>
    <w:rsid w:val="000A693F"/>
    <w:rsid w:val="000A6B21"/>
    <w:rsid w:val="000C1759"/>
    <w:rsid w:val="000F00FC"/>
    <w:rsid w:val="000F6497"/>
    <w:rsid w:val="001021DD"/>
    <w:rsid w:val="00102626"/>
    <w:rsid w:val="00115C0B"/>
    <w:rsid w:val="001414E6"/>
    <w:rsid w:val="00151C2D"/>
    <w:rsid w:val="00192F67"/>
    <w:rsid w:val="00197635"/>
    <w:rsid w:val="001A085D"/>
    <w:rsid w:val="001A3197"/>
    <w:rsid w:val="001A77F2"/>
    <w:rsid w:val="001C3C01"/>
    <w:rsid w:val="001D0DDB"/>
    <w:rsid w:val="001F0B50"/>
    <w:rsid w:val="001F49F6"/>
    <w:rsid w:val="001F7751"/>
    <w:rsid w:val="00216419"/>
    <w:rsid w:val="00222D8F"/>
    <w:rsid w:val="002351AB"/>
    <w:rsid w:val="00244D57"/>
    <w:rsid w:val="002504E4"/>
    <w:rsid w:val="00254C54"/>
    <w:rsid w:val="00272203"/>
    <w:rsid w:val="002731F1"/>
    <w:rsid w:val="002810C7"/>
    <w:rsid w:val="00286CEB"/>
    <w:rsid w:val="00291386"/>
    <w:rsid w:val="00292366"/>
    <w:rsid w:val="00294400"/>
    <w:rsid w:val="002C15A8"/>
    <w:rsid w:val="002C4185"/>
    <w:rsid w:val="002D3A98"/>
    <w:rsid w:val="002E2EA5"/>
    <w:rsid w:val="002E6AFC"/>
    <w:rsid w:val="002F0C1C"/>
    <w:rsid w:val="002F2281"/>
    <w:rsid w:val="003110B4"/>
    <w:rsid w:val="00311220"/>
    <w:rsid w:val="00311C73"/>
    <w:rsid w:val="00341EDC"/>
    <w:rsid w:val="00343710"/>
    <w:rsid w:val="003448CD"/>
    <w:rsid w:val="00353572"/>
    <w:rsid w:val="0038306B"/>
    <w:rsid w:val="003951B6"/>
    <w:rsid w:val="0039616D"/>
    <w:rsid w:val="003C4D5B"/>
    <w:rsid w:val="00414E42"/>
    <w:rsid w:val="0042033C"/>
    <w:rsid w:val="00420410"/>
    <w:rsid w:val="00422C39"/>
    <w:rsid w:val="0042508F"/>
    <w:rsid w:val="00427417"/>
    <w:rsid w:val="00437B54"/>
    <w:rsid w:val="004432EF"/>
    <w:rsid w:val="00447927"/>
    <w:rsid w:val="004636AD"/>
    <w:rsid w:val="004A24FA"/>
    <w:rsid w:val="004B116A"/>
    <w:rsid w:val="004D3EA6"/>
    <w:rsid w:val="004E225D"/>
    <w:rsid w:val="004E2FB6"/>
    <w:rsid w:val="004E691A"/>
    <w:rsid w:val="00500DC6"/>
    <w:rsid w:val="00511963"/>
    <w:rsid w:val="00511B48"/>
    <w:rsid w:val="005150A3"/>
    <w:rsid w:val="00517389"/>
    <w:rsid w:val="005341EF"/>
    <w:rsid w:val="005352FB"/>
    <w:rsid w:val="0054351C"/>
    <w:rsid w:val="005550F3"/>
    <w:rsid w:val="00580148"/>
    <w:rsid w:val="00580FF1"/>
    <w:rsid w:val="005835FF"/>
    <w:rsid w:val="0059616B"/>
    <w:rsid w:val="00597B61"/>
    <w:rsid w:val="005A4A01"/>
    <w:rsid w:val="005A6BCE"/>
    <w:rsid w:val="005B0646"/>
    <w:rsid w:val="005B596C"/>
    <w:rsid w:val="005C3F1C"/>
    <w:rsid w:val="005E725F"/>
    <w:rsid w:val="005E7792"/>
    <w:rsid w:val="005F2F2C"/>
    <w:rsid w:val="005F4DE2"/>
    <w:rsid w:val="00600809"/>
    <w:rsid w:val="0060274B"/>
    <w:rsid w:val="00612755"/>
    <w:rsid w:val="006131E1"/>
    <w:rsid w:val="00615DF3"/>
    <w:rsid w:val="00617F47"/>
    <w:rsid w:val="00625D8A"/>
    <w:rsid w:val="006424C1"/>
    <w:rsid w:val="00670A96"/>
    <w:rsid w:val="006A2F2E"/>
    <w:rsid w:val="006A46FF"/>
    <w:rsid w:val="006A7043"/>
    <w:rsid w:val="006A7A09"/>
    <w:rsid w:val="006E573A"/>
    <w:rsid w:val="00710D9D"/>
    <w:rsid w:val="00721936"/>
    <w:rsid w:val="0073703D"/>
    <w:rsid w:val="007555CF"/>
    <w:rsid w:val="007623C5"/>
    <w:rsid w:val="0076534D"/>
    <w:rsid w:val="007740FB"/>
    <w:rsid w:val="0077731F"/>
    <w:rsid w:val="007A2D86"/>
    <w:rsid w:val="007B05B3"/>
    <w:rsid w:val="007B0C90"/>
    <w:rsid w:val="007C1AB3"/>
    <w:rsid w:val="007F0DC0"/>
    <w:rsid w:val="007F2648"/>
    <w:rsid w:val="007F50D7"/>
    <w:rsid w:val="007F52BE"/>
    <w:rsid w:val="007F6546"/>
    <w:rsid w:val="00805133"/>
    <w:rsid w:val="008207DA"/>
    <w:rsid w:val="008259D0"/>
    <w:rsid w:val="00832BD9"/>
    <w:rsid w:val="00835D1F"/>
    <w:rsid w:val="00845020"/>
    <w:rsid w:val="00867C9E"/>
    <w:rsid w:val="0088638F"/>
    <w:rsid w:val="0089630D"/>
    <w:rsid w:val="008A3F97"/>
    <w:rsid w:val="008B6005"/>
    <w:rsid w:val="008B75D4"/>
    <w:rsid w:val="008C012E"/>
    <w:rsid w:val="008C1E0A"/>
    <w:rsid w:val="008D4A3A"/>
    <w:rsid w:val="008E04F8"/>
    <w:rsid w:val="008F0CF6"/>
    <w:rsid w:val="00900B65"/>
    <w:rsid w:val="00915FDD"/>
    <w:rsid w:val="0092591B"/>
    <w:rsid w:val="00931ED2"/>
    <w:rsid w:val="00933F4C"/>
    <w:rsid w:val="009407B2"/>
    <w:rsid w:val="0097051D"/>
    <w:rsid w:val="009728AD"/>
    <w:rsid w:val="00974DFB"/>
    <w:rsid w:val="00977C14"/>
    <w:rsid w:val="009827F6"/>
    <w:rsid w:val="00985FF4"/>
    <w:rsid w:val="009A490D"/>
    <w:rsid w:val="009A69B9"/>
    <w:rsid w:val="009B36C5"/>
    <w:rsid w:val="009B3CE0"/>
    <w:rsid w:val="009B5906"/>
    <w:rsid w:val="009C4FD5"/>
    <w:rsid w:val="009D62C3"/>
    <w:rsid w:val="009F4C51"/>
    <w:rsid w:val="009F775A"/>
    <w:rsid w:val="009F7A2B"/>
    <w:rsid w:val="00A22314"/>
    <w:rsid w:val="00A412AC"/>
    <w:rsid w:val="00A43C5F"/>
    <w:rsid w:val="00A44141"/>
    <w:rsid w:val="00A44792"/>
    <w:rsid w:val="00A45DAA"/>
    <w:rsid w:val="00A64437"/>
    <w:rsid w:val="00A73D3A"/>
    <w:rsid w:val="00A73E1F"/>
    <w:rsid w:val="00A753F4"/>
    <w:rsid w:val="00A77150"/>
    <w:rsid w:val="00A97767"/>
    <w:rsid w:val="00A97BD1"/>
    <w:rsid w:val="00AE3812"/>
    <w:rsid w:val="00B27456"/>
    <w:rsid w:val="00B50D6F"/>
    <w:rsid w:val="00B547A2"/>
    <w:rsid w:val="00B55BCC"/>
    <w:rsid w:val="00B87A99"/>
    <w:rsid w:val="00BA033E"/>
    <w:rsid w:val="00BA0E23"/>
    <w:rsid w:val="00BB283D"/>
    <w:rsid w:val="00BB4B70"/>
    <w:rsid w:val="00BC0008"/>
    <w:rsid w:val="00BC2C26"/>
    <w:rsid w:val="00BD202E"/>
    <w:rsid w:val="00BD293D"/>
    <w:rsid w:val="00BE13D1"/>
    <w:rsid w:val="00BF7B26"/>
    <w:rsid w:val="00C040AD"/>
    <w:rsid w:val="00C11BAE"/>
    <w:rsid w:val="00C16DD5"/>
    <w:rsid w:val="00C20352"/>
    <w:rsid w:val="00C30876"/>
    <w:rsid w:val="00C30F45"/>
    <w:rsid w:val="00C34D66"/>
    <w:rsid w:val="00C5037E"/>
    <w:rsid w:val="00C8489E"/>
    <w:rsid w:val="00C957C4"/>
    <w:rsid w:val="00CA736C"/>
    <w:rsid w:val="00CC3FCC"/>
    <w:rsid w:val="00D204DF"/>
    <w:rsid w:val="00D34A3D"/>
    <w:rsid w:val="00D35DFD"/>
    <w:rsid w:val="00D543FF"/>
    <w:rsid w:val="00D6089B"/>
    <w:rsid w:val="00D6752C"/>
    <w:rsid w:val="00D817E2"/>
    <w:rsid w:val="00D81E7B"/>
    <w:rsid w:val="00DB03DA"/>
    <w:rsid w:val="00DB21AF"/>
    <w:rsid w:val="00DB5BAB"/>
    <w:rsid w:val="00DC0713"/>
    <w:rsid w:val="00DC2F17"/>
    <w:rsid w:val="00DE268F"/>
    <w:rsid w:val="00DE45B7"/>
    <w:rsid w:val="00E1047B"/>
    <w:rsid w:val="00E15E61"/>
    <w:rsid w:val="00E217F6"/>
    <w:rsid w:val="00E25991"/>
    <w:rsid w:val="00E279F4"/>
    <w:rsid w:val="00E3639A"/>
    <w:rsid w:val="00E42E8B"/>
    <w:rsid w:val="00E6050F"/>
    <w:rsid w:val="00E60997"/>
    <w:rsid w:val="00E97A0A"/>
    <w:rsid w:val="00EB4ADF"/>
    <w:rsid w:val="00EC2A25"/>
    <w:rsid w:val="00EC6236"/>
    <w:rsid w:val="00EC71A0"/>
    <w:rsid w:val="00EF14C1"/>
    <w:rsid w:val="00EF666F"/>
    <w:rsid w:val="00F20C13"/>
    <w:rsid w:val="00F23445"/>
    <w:rsid w:val="00F30A49"/>
    <w:rsid w:val="00F34F5F"/>
    <w:rsid w:val="00F45FB0"/>
    <w:rsid w:val="00F553F0"/>
    <w:rsid w:val="00F64090"/>
    <w:rsid w:val="00F6497F"/>
    <w:rsid w:val="00F75F34"/>
    <w:rsid w:val="00F921BB"/>
    <w:rsid w:val="00F95D54"/>
    <w:rsid w:val="00F967AF"/>
    <w:rsid w:val="00FB1E55"/>
    <w:rsid w:val="00FB29E9"/>
    <w:rsid w:val="00FB62A0"/>
    <w:rsid w:val="00FC6DEF"/>
    <w:rsid w:val="00FD7175"/>
    <w:rsid w:val="00FE6227"/>
    <w:rsid w:val="00FF0AE8"/>
    <w:rsid w:val="00FF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FFF"/>
  <w15:docId w15:val="{74DBAD80-9080-415C-91E5-2DDE4F1A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DB"/>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1D0DDB"/>
    <w:pPr>
      <w:keepNext/>
      <w:tabs>
        <w:tab w:val="left" w:pos="425"/>
        <w:tab w:val="left" w:pos="851"/>
        <w:tab w:val="left" w:pos="1276"/>
        <w:tab w:val="left" w:pos="1701"/>
      </w:tabs>
      <w:outlineLvl w:val="0"/>
    </w:pPr>
    <w:rPr>
      <w:rFonts w:ascii="Arial Narrow" w:hAnsi="Arial Narrow"/>
      <w:b/>
      <w:bCs/>
      <w:spacing w:val="-6"/>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DB"/>
    <w:rPr>
      <w:rFonts w:ascii="Arial Narrow" w:eastAsia="Times New Roman" w:hAnsi="Arial Narrow" w:cs="Times New Roman"/>
      <w:b/>
      <w:bCs/>
      <w:spacing w:val="-6"/>
      <w:szCs w:val="20"/>
    </w:rPr>
  </w:style>
  <w:style w:type="character" w:styleId="Hyperlink">
    <w:name w:val="Hyperlink"/>
    <w:unhideWhenUsed/>
    <w:rsid w:val="001D0DDB"/>
    <w:rPr>
      <w:color w:val="0000FF"/>
      <w:u w:val="single"/>
    </w:rPr>
  </w:style>
  <w:style w:type="paragraph" w:customStyle="1" w:styleId="WfxFaxNum">
    <w:name w:val="WfxFaxNum"/>
    <w:basedOn w:val="Normal"/>
    <w:rsid w:val="001D0DDB"/>
    <w:pPr>
      <w:tabs>
        <w:tab w:val="left" w:pos="425"/>
        <w:tab w:val="left" w:pos="851"/>
        <w:tab w:val="left" w:pos="1276"/>
        <w:tab w:val="left" w:pos="1701"/>
      </w:tabs>
      <w:spacing w:before="120"/>
    </w:pPr>
    <w:rPr>
      <w:rFonts w:ascii="Arial" w:hAnsi="Arial"/>
      <w:spacing w:val="-6"/>
      <w:sz w:val="22"/>
      <w:szCs w:val="20"/>
      <w:lang w:eastAsia="en-US"/>
    </w:rPr>
  </w:style>
  <w:style w:type="paragraph" w:styleId="NoSpacing">
    <w:name w:val="No Spacing"/>
    <w:basedOn w:val="Normal"/>
    <w:uiPriority w:val="1"/>
    <w:qFormat/>
    <w:rsid w:val="001D0DDB"/>
    <w:pPr>
      <w:spacing w:before="100" w:beforeAutospacing="1" w:after="100" w:afterAutospacing="1"/>
    </w:pPr>
  </w:style>
  <w:style w:type="paragraph" w:styleId="BalloonText">
    <w:name w:val="Balloon Text"/>
    <w:basedOn w:val="Normal"/>
    <w:link w:val="BalloonTextChar"/>
    <w:uiPriority w:val="99"/>
    <w:semiHidden/>
    <w:unhideWhenUsed/>
    <w:rsid w:val="005F2F2C"/>
    <w:rPr>
      <w:rFonts w:ascii="Tahoma" w:hAnsi="Tahoma" w:cs="Tahoma"/>
      <w:sz w:val="16"/>
      <w:szCs w:val="16"/>
    </w:rPr>
  </w:style>
  <w:style w:type="character" w:customStyle="1" w:styleId="BalloonTextChar">
    <w:name w:val="Balloon Text Char"/>
    <w:basedOn w:val="DefaultParagraphFont"/>
    <w:link w:val="BalloonText"/>
    <w:uiPriority w:val="99"/>
    <w:semiHidden/>
    <w:rsid w:val="005F2F2C"/>
    <w:rPr>
      <w:rFonts w:ascii="Tahoma" w:eastAsia="Times New Roman" w:hAnsi="Tahoma" w:cs="Tahoma"/>
      <w:sz w:val="16"/>
      <w:szCs w:val="16"/>
      <w:lang w:eastAsia="tr-TR"/>
    </w:rPr>
  </w:style>
  <w:style w:type="paragraph" w:styleId="ListParagraph">
    <w:name w:val="List Paragraph"/>
    <w:basedOn w:val="Normal"/>
    <w:uiPriority w:val="34"/>
    <w:qFormat/>
    <w:rsid w:val="00F20C13"/>
    <w:pPr>
      <w:ind w:left="720"/>
      <w:contextualSpacing/>
    </w:pPr>
  </w:style>
  <w:style w:type="table" w:styleId="TableGrid">
    <w:name w:val="Table Grid"/>
    <w:basedOn w:val="TableNormal"/>
    <w:uiPriority w:val="59"/>
    <w:rsid w:val="0028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175"/>
    <w:rPr>
      <w:sz w:val="16"/>
      <w:szCs w:val="16"/>
    </w:rPr>
  </w:style>
  <w:style w:type="paragraph" w:styleId="CommentText">
    <w:name w:val="annotation text"/>
    <w:basedOn w:val="Normal"/>
    <w:link w:val="CommentTextChar"/>
    <w:uiPriority w:val="99"/>
    <w:semiHidden/>
    <w:unhideWhenUsed/>
    <w:rsid w:val="00FD7175"/>
    <w:rPr>
      <w:sz w:val="20"/>
      <w:szCs w:val="20"/>
    </w:rPr>
  </w:style>
  <w:style w:type="character" w:customStyle="1" w:styleId="CommentTextChar">
    <w:name w:val="Comment Text Char"/>
    <w:basedOn w:val="DefaultParagraphFont"/>
    <w:link w:val="CommentText"/>
    <w:uiPriority w:val="99"/>
    <w:semiHidden/>
    <w:rsid w:val="00FD7175"/>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FD7175"/>
    <w:rPr>
      <w:b/>
      <w:bCs/>
    </w:rPr>
  </w:style>
  <w:style w:type="character" w:customStyle="1" w:styleId="CommentSubjectChar">
    <w:name w:val="Comment Subject Char"/>
    <w:basedOn w:val="CommentTextChar"/>
    <w:link w:val="CommentSubject"/>
    <w:uiPriority w:val="99"/>
    <w:semiHidden/>
    <w:rsid w:val="00FD717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63701">
      <w:bodyDiv w:val="1"/>
      <w:marLeft w:val="0"/>
      <w:marRight w:val="0"/>
      <w:marTop w:val="0"/>
      <w:marBottom w:val="0"/>
      <w:divBdr>
        <w:top w:val="none" w:sz="0" w:space="0" w:color="auto"/>
        <w:left w:val="none" w:sz="0" w:space="0" w:color="auto"/>
        <w:bottom w:val="none" w:sz="0" w:space="0" w:color="auto"/>
        <w:right w:val="none" w:sz="0" w:space="0" w:color="auto"/>
      </w:divBdr>
    </w:div>
    <w:div w:id="753747678">
      <w:bodyDiv w:val="1"/>
      <w:marLeft w:val="0"/>
      <w:marRight w:val="0"/>
      <w:marTop w:val="0"/>
      <w:marBottom w:val="0"/>
      <w:divBdr>
        <w:top w:val="none" w:sz="0" w:space="0" w:color="auto"/>
        <w:left w:val="none" w:sz="0" w:space="0" w:color="auto"/>
        <w:bottom w:val="none" w:sz="0" w:space="0" w:color="auto"/>
        <w:right w:val="none" w:sz="0" w:space="0" w:color="auto"/>
      </w:divBdr>
    </w:div>
    <w:div w:id="785081211">
      <w:bodyDiv w:val="1"/>
      <w:marLeft w:val="0"/>
      <w:marRight w:val="0"/>
      <w:marTop w:val="0"/>
      <w:marBottom w:val="0"/>
      <w:divBdr>
        <w:top w:val="none" w:sz="0" w:space="0" w:color="auto"/>
        <w:left w:val="none" w:sz="0" w:space="0" w:color="auto"/>
        <w:bottom w:val="none" w:sz="0" w:space="0" w:color="auto"/>
        <w:right w:val="none" w:sz="0" w:space="0" w:color="auto"/>
      </w:divBdr>
    </w:div>
    <w:div w:id="13237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v@tkv-dft.org" TargetMode="External"/><Relationship Id="rId3" Type="http://schemas.openxmlformats.org/officeDocument/2006/relationships/styles" Target="styles.xml"/><Relationship Id="rId7" Type="http://schemas.openxmlformats.org/officeDocument/2006/relationships/hyperlink" Target="http://www.tkv-dft.org.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v@tkv-dft.org" TargetMode="External"/><Relationship Id="rId4" Type="http://schemas.openxmlformats.org/officeDocument/2006/relationships/settings" Target="settings.xml"/><Relationship Id="rId9" Type="http://schemas.openxmlformats.org/officeDocument/2006/relationships/hyperlink" Target="http://www.tkv-dft.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7882-25BF-490D-AF54-2862019E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1702</Words>
  <Characters>9708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Gizem Ozgun</cp:lastModifiedBy>
  <cp:revision>3</cp:revision>
  <cp:lastPrinted>2020-01-15T09:02:00Z</cp:lastPrinted>
  <dcterms:created xsi:type="dcterms:W3CDTF">2022-03-02T08:42:00Z</dcterms:created>
  <dcterms:modified xsi:type="dcterms:W3CDTF">2022-03-02T08:45:00Z</dcterms:modified>
</cp:coreProperties>
</file>